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27D59">
      <w:pPr>
        <w:adjustRightInd w:val="0"/>
        <w:snapToGrid w:val="0"/>
        <w:jc w:val="center"/>
        <w:rPr>
          <w:b/>
          <w:sz w:val="36"/>
          <w:szCs w:val="36"/>
        </w:rPr>
      </w:pPr>
    </w:p>
    <w:p w14:paraId="2CFA838A">
      <w:pPr>
        <w:adjustRightInd w:val="0"/>
        <w:snapToGrid w:val="0"/>
        <w:jc w:val="center"/>
        <w:rPr>
          <w:b/>
          <w:sz w:val="36"/>
          <w:szCs w:val="36"/>
        </w:rPr>
      </w:pPr>
    </w:p>
    <w:p w14:paraId="1B322A2C">
      <w:pPr>
        <w:adjustRightInd w:val="0"/>
        <w:snapToGrid w:val="0"/>
        <w:rPr>
          <w:b/>
          <w:sz w:val="36"/>
          <w:szCs w:val="36"/>
        </w:rPr>
      </w:pPr>
    </w:p>
    <w:p w14:paraId="51D1EE51">
      <w:pPr>
        <w:adjustRightInd w:val="0"/>
        <w:snapToGrid w:val="0"/>
        <w:rPr>
          <w:b/>
          <w:sz w:val="36"/>
          <w:szCs w:val="36"/>
        </w:rPr>
      </w:pPr>
    </w:p>
    <w:p w14:paraId="01CE89A1">
      <w:pPr>
        <w:adjustRightInd w:val="0"/>
        <w:snapToGrid w:val="0"/>
        <w:rPr>
          <w:b/>
          <w:sz w:val="36"/>
          <w:szCs w:val="36"/>
        </w:rPr>
      </w:pPr>
    </w:p>
    <w:p w14:paraId="20B62DF9">
      <w:pPr>
        <w:adjustRightInd w:val="0"/>
        <w:snapToGrid w:val="0"/>
        <w:rPr>
          <w:b/>
          <w:sz w:val="36"/>
          <w:szCs w:val="36"/>
        </w:rPr>
      </w:pPr>
    </w:p>
    <w:p w14:paraId="0263CC91">
      <w:pPr>
        <w:adjustRightInd w:val="0"/>
        <w:snapToGrid w:val="0"/>
        <w:rPr>
          <w:b/>
          <w:sz w:val="36"/>
          <w:szCs w:val="36"/>
        </w:rPr>
      </w:pPr>
    </w:p>
    <w:p w14:paraId="1B0F12F7">
      <w:pPr>
        <w:adjustRightInd w:val="0"/>
        <w:snapToGrid w:val="0"/>
        <w:rPr>
          <w:b/>
          <w:sz w:val="36"/>
          <w:szCs w:val="36"/>
        </w:rPr>
      </w:pPr>
    </w:p>
    <w:p w14:paraId="30A7877A">
      <w:pPr>
        <w:adjustRightInd w:val="0"/>
        <w:snapToGrid w:val="0"/>
        <w:rPr>
          <w:b/>
          <w:sz w:val="36"/>
          <w:szCs w:val="36"/>
        </w:rPr>
      </w:pPr>
    </w:p>
    <w:p w14:paraId="7785F0C6">
      <w:pPr>
        <w:adjustRightInd w:val="0"/>
        <w:snapToGrid w:val="0"/>
        <w:rPr>
          <w:b/>
          <w:sz w:val="36"/>
          <w:szCs w:val="36"/>
        </w:rPr>
      </w:pPr>
    </w:p>
    <w:p w14:paraId="18D7A8FC">
      <w:pPr>
        <w:adjustRightInd w:val="0"/>
        <w:snapToGrid w:val="0"/>
        <w:rPr>
          <w:b/>
          <w:sz w:val="36"/>
          <w:szCs w:val="36"/>
        </w:rPr>
      </w:pPr>
    </w:p>
    <w:p w14:paraId="345AE188">
      <w:pPr>
        <w:adjustRightInd w:val="0"/>
        <w:snapToGrid w:val="0"/>
        <w:rPr>
          <w:b/>
          <w:sz w:val="36"/>
          <w:szCs w:val="36"/>
        </w:rPr>
      </w:pPr>
    </w:p>
    <w:p w14:paraId="031AC14B">
      <w:pPr>
        <w:adjustRightInd w:val="0"/>
        <w:snapToGrid w:val="0"/>
        <w:rPr>
          <w:b/>
          <w:sz w:val="36"/>
          <w:szCs w:val="36"/>
        </w:rPr>
      </w:pPr>
    </w:p>
    <w:p w14:paraId="5568E46F">
      <w:pPr>
        <w:adjustRightInd w:val="0"/>
        <w:snapToGrid w:val="0"/>
        <w:jc w:val="center"/>
        <w:rPr>
          <w:b/>
          <w:sz w:val="36"/>
          <w:szCs w:val="36"/>
        </w:rPr>
      </w:pPr>
    </w:p>
    <w:p w14:paraId="460ED74F">
      <w:pPr>
        <w:jc w:val="center"/>
        <w:rPr>
          <w:rFonts w:ascii="宋体" w:hAnsi="宋体" w:cs="宋体"/>
          <w:b/>
          <w:bCs/>
          <w:sz w:val="44"/>
          <w:szCs w:val="44"/>
        </w:rPr>
      </w:pPr>
      <w:r>
        <w:rPr>
          <w:rFonts w:hint="eastAsia" w:ascii="宋体" w:hAnsi="宋体" w:cs="宋体"/>
          <w:b/>
          <w:bCs/>
          <w:sz w:val="44"/>
          <w:szCs w:val="44"/>
        </w:rPr>
        <w:t>国家生物制造产业创新中心</w:t>
      </w:r>
    </w:p>
    <w:p w14:paraId="4C216B69">
      <w:pPr>
        <w:jc w:val="center"/>
        <w:rPr>
          <w:rFonts w:ascii="宋体" w:hAnsi="宋体" w:cs="宋体"/>
          <w:b/>
          <w:bCs/>
          <w:sz w:val="44"/>
          <w:szCs w:val="44"/>
        </w:rPr>
      </w:pPr>
      <w:r>
        <w:rPr>
          <w:rFonts w:hint="eastAsia" w:ascii="宋体" w:hAnsi="宋体" w:cs="宋体"/>
          <w:b/>
          <w:bCs/>
          <w:sz w:val="44"/>
          <w:szCs w:val="44"/>
        </w:rPr>
        <w:t>AI智能发酵液纯化自动化平台设备用户需求说明书（智能纯化平台）</w:t>
      </w:r>
    </w:p>
    <w:p w14:paraId="068A43A2">
      <w:pPr>
        <w:adjustRightInd w:val="0"/>
        <w:snapToGrid w:val="0"/>
        <w:rPr>
          <w:b/>
          <w:sz w:val="36"/>
          <w:szCs w:val="36"/>
        </w:rPr>
      </w:pPr>
    </w:p>
    <w:p w14:paraId="3C6A9492">
      <w:pPr>
        <w:adjustRightInd w:val="0"/>
        <w:snapToGrid w:val="0"/>
        <w:rPr>
          <w:b/>
          <w:sz w:val="36"/>
          <w:szCs w:val="36"/>
        </w:rPr>
      </w:pPr>
    </w:p>
    <w:p w14:paraId="72E26A8F">
      <w:pPr>
        <w:adjustRightInd w:val="0"/>
        <w:snapToGrid w:val="0"/>
        <w:rPr>
          <w:b/>
          <w:sz w:val="36"/>
          <w:szCs w:val="36"/>
        </w:rPr>
      </w:pPr>
    </w:p>
    <w:p w14:paraId="2983C6BA">
      <w:pPr>
        <w:adjustRightInd w:val="0"/>
        <w:snapToGrid w:val="0"/>
        <w:rPr>
          <w:b/>
          <w:sz w:val="36"/>
          <w:szCs w:val="36"/>
        </w:rPr>
      </w:pPr>
    </w:p>
    <w:p w14:paraId="2EC47C93">
      <w:pPr>
        <w:adjustRightInd w:val="0"/>
        <w:snapToGrid w:val="0"/>
        <w:rPr>
          <w:b/>
          <w:sz w:val="36"/>
          <w:szCs w:val="36"/>
        </w:rPr>
      </w:pPr>
    </w:p>
    <w:p w14:paraId="6B855C4E">
      <w:pPr>
        <w:adjustRightInd w:val="0"/>
        <w:snapToGrid w:val="0"/>
        <w:rPr>
          <w:b/>
          <w:sz w:val="36"/>
          <w:szCs w:val="36"/>
        </w:rPr>
      </w:pPr>
    </w:p>
    <w:p w14:paraId="67B4A1A3">
      <w:pPr>
        <w:adjustRightInd w:val="0"/>
        <w:snapToGrid w:val="0"/>
        <w:rPr>
          <w:b/>
          <w:sz w:val="36"/>
          <w:szCs w:val="36"/>
        </w:rPr>
      </w:pPr>
    </w:p>
    <w:p w14:paraId="35959D76">
      <w:pPr>
        <w:adjustRightInd w:val="0"/>
        <w:snapToGrid w:val="0"/>
        <w:rPr>
          <w:b/>
          <w:sz w:val="36"/>
          <w:szCs w:val="36"/>
        </w:rPr>
      </w:pPr>
    </w:p>
    <w:p w14:paraId="249D6A31">
      <w:pPr>
        <w:adjustRightInd w:val="0"/>
        <w:snapToGrid w:val="0"/>
        <w:rPr>
          <w:b/>
          <w:sz w:val="36"/>
          <w:szCs w:val="36"/>
        </w:rPr>
      </w:pPr>
    </w:p>
    <w:p w14:paraId="68D5BF0A">
      <w:pPr>
        <w:adjustRightInd w:val="0"/>
        <w:snapToGrid w:val="0"/>
        <w:rPr>
          <w:b/>
          <w:sz w:val="36"/>
          <w:szCs w:val="36"/>
        </w:rPr>
      </w:pPr>
    </w:p>
    <w:p w14:paraId="557CDF3B">
      <w:pPr>
        <w:adjustRightInd w:val="0"/>
        <w:snapToGrid w:val="0"/>
        <w:rPr>
          <w:b/>
          <w:sz w:val="36"/>
          <w:szCs w:val="36"/>
        </w:rPr>
      </w:pPr>
    </w:p>
    <w:p w14:paraId="68D0FB12">
      <w:pPr>
        <w:adjustRightInd w:val="0"/>
        <w:snapToGrid w:val="0"/>
        <w:rPr>
          <w:b/>
          <w:sz w:val="36"/>
          <w:szCs w:val="36"/>
        </w:rPr>
      </w:pPr>
    </w:p>
    <w:p w14:paraId="651EA8AF">
      <w:pPr>
        <w:adjustRightInd w:val="0"/>
        <w:snapToGrid w:val="0"/>
        <w:rPr>
          <w:b/>
          <w:sz w:val="36"/>
          <w:szCs w:val="36"/>
        </w:rPr>
      </w:pPr>
    </w:p>
    <w:p w14:paraId="14EAA40E">
      <w:pPr>
        <w:adjustRightInd w:val="0"/>
        <w:snapToGrid w:val="0"/>
        <w:rPr>
          <w:b/>
          <w:sz w:val="36"/>
          <w:szCs w:val="36"/>
        </w:rPr>
      </w:pPr>
    </w:p>
    <w:p w14:paraId="27019724">
      <w:pPr>
        <w:adjustRightInd w:val="0"/>
        <w:snapToGrid w:val="0"/>
        <w:rPr>
          <w:b/>
          <w:sz w:val="36"/>
          <w:szCs w:val="36"/>
        </w:rPr>
      </w:pPr>
    </w:p>
    <w:sdt>
      <w:sdtPr>
        <w:rPr>
          <w:rFonts w:ascii="宋体" w:hAnsi="宋体"/>
        </w:rPr>
        <w:id w:val="147474395"/>
        <w15:color w:val="DBDBDB"/>
        <w:docPartObj>
          <w:docPartGallery w:val="Table of Contents"/>
          <w:docPartUnique/>
        </w:docPartObj>
      </w:sdtPr>
      <w:sdtEndPr>
        <w:rPr>
          <w:rFonts w:ascii="Times New Roman" w:hAnsi="Times New Roman"/>
          <w:b/>
          <w:szCs w:val="36"/>
        </w:rPr>
      </w:sdtEndPr>
      <w:sdtContent>
        <w:p w14:paraId="35211D9E">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目录</w:t>
          </w:r>
        </w:p>
        <w:p w14:paraId="5B7C908D">
          <w:pPr>
            <w:pStyle w:val="12"/>
            <w:tabs>
              <w:tab w:val="right" w:leader="dot" w:pos="9638"/>
              <w:tab w:val="clear" w:pos="9627"/>
            </w:tabs>
            <w:spacing w:line="500" w:lineRule="exact"/>
          </w:pPr>
          <w:r>
            <w:rPr>
              <w:rFonts w:hint="eastAsia" w:ascii="微软雅黑" w:hAnsi="微软雅黑" w:eastAsia="微软雅黑" w:cs="微软雅黑"/>
              <w:b/>
              <w:sz w:val="21"/>
              <w:szCs w:val="21"/>
            </w:rPr>
            <w:fldChar w:fldCharType="begin"/>
          </w:r>
          <w:r>
            <w:rPr>
              <w:rFonts w:hint="eastAsia" w:ascii="微软雅黑" w:hAnsi="微软雅黑" w:eastAsia="微软雅黑" w:cs="微软雅黑"/>
              <w:b/>
              <w:sz w:val="21"/>
              <w:szCs w:val="21"/>
            </w:rPr>
            <w:instrText xml:space="preserve">TOC \o "1-2" \h \u </w:instrText>
          </w:r>
          <w:r>
            <w:rPr>
              <w:rFonts w:hint="eastAsia" w:ascii="微软雅黑" w:hAnsi="微软雅黑" w:eastAsia="微软雅黑" w:cs="微软雅黑"/>
              <w:b/>
              <w:sz w:val="21"/>
              <w:szCs w:val="21"/>
            </w:rPr>
            <w:fldChar w:fldCharType="separate"/>
          </w:r>
          <w:r>
            <w:fldChar w:fldCharType="begin"/>
          </w:r>
          <w:r>
            <w:instrText xml:space="preserve"> HYPERLINK \l "_Toc91001" </w:instrText>
          </w:r>
          <w:r>
            <w:fldChar w:fldCharType="separate"/>
          </w:r>
          <w:r>
            <w:rPr>
              <w:rFonts w:ascii="微软雅黑" w:hAnsi="微软雅黑" w:eastAsia="微软雅黑" w:cs="微软雅黑"/>
              <w:bCs/>
              <w:szCs w:val="21"/>
            </w:rPr>
            <w:t xml:space="preserve">1. </w:t>
          </w:r>
          <w:r>
            <w:rPr>
              <w:rFonts w:hint="eastAsia" w:ascii="微软雅黑" w:hAnsi="微软雅黑" w:eastAsia="微软雅黑" w:cs="微软雅黑"/>
              <w:szCs w:val="21"/>
            </w:rPr>
            <w:t>目的</w:t>
          </w:r>
          <w:r>
            <w:tab/>
          </w:r>
          <w:r>
            <w:fldChar w:fldCharType="begin"/>
          </w:r>
          <w:r>
            <w:instrText xml:space="preserve"> PAGEREF _Toc91001 \h </w:instrText>
          </w:r>
          <w:r>
            <w:fldChar w:fldCharType="separate"/>
          </w:r>
          <w:r>
            <w:t>3</w:t>
          </w:r>
          <w:r>
            <w:fldChar w:fldCharType="end"/>
          </w:r>
          <w:r>
            <w:fldChar w:fldCharType="end"/>
          </w:r>
        </w:p>
        <w:p w14:paraId="06997374">
          <w:pPr>
            <w:pStyle w:val="12"/>
            <w:tabs>
              <w:tab w:val="right" w:leader="dot" w:pos="9638"/>
              <w:tab w:val="clear" w:pos="9627"/>
            </w:tabs>
            <w:spacing w:line="500" w:lineRule="exact"/>
          </w:pPr>
          <w:r>
            <w:fldChar w:fldCharType="begin"/>
          </w:r>
          <w:r>
            <w:instrText xml:space="preserve"> HYPERLINK \l "_Toc91002" </w:instrText>
          </w:r>
          <w:r>
            <w:fldChar w:fldCharType="separate"/>
          </w:r>
          <w:r>
            <w:rPr>
              <w:rFonts w:ascii="微软雅黑" w:hAnsi="微软雅黑" w:eastAsia="微软雅黑" w:cs="微软雅黑"/>
              <w:bCs/>
              <w:szCs w:val="21"/>
            </w:rPr>
            <w:t xml:space="preserve">2. </w:t>
          </w:r>
          <w:r>
            <w:rPr>
              <w:rFonts w:hint="eastAsia" w:ascii="微软雅黑" w:hAnsi="微软雅黑" w:eastAsia="微软雅黑" w:cs="微软雅黑"/>
              <w:szCs w:val="21"/>
            </w:rPr>
            <w:t>范围</w:t>
          </w:r>
          <w:r>
            <w:tab/>
          </w:r>
          <w:r>
            <w:fldChar w:fldCharType="begin"/>
          </w:r>
          <w:r>
            <w:instrText xml:space="preserve"> PAGEREF _Toc91002 \h </w:instrText>
          </w:r>
          <w:r>
            <w:fldChar w:fldCharType="separate"/>
          </w:r>
          <w:r>
            <w:t>3</w:t>
          </w:r>
          <w:r>
            <w:fldChar w:fldCharType="end"/>
          </w:r>
          <w:r>
            <w:fldChar w:fldCharType="end"/>
          </w:r>
        </w:p>
        <w:p w14:paraId="07C7E230">
          <w:pPr>
            <w:pStyle w:val="12"/>
            <w:tabs>
              <w:tab w:val="right" w:leader="dot" w:pos="9638"/>
              <w:tab w:val="clear" w:pos="9627"/>
            </w:tabs>
            <w:spacing w:line="500" w:lineRule="exact"/>
          </w:pPr>
          <w:r>
            <w:fldChar w:fldCharType="begin"/>
          </w:r>
          <w:r>
            <w:instrText xml:space="preserve"> HYPERLINK \l "_Toc91003" </w:instrText>
          </w:r>
          <w:r>
            <w:fldChar w:fldCharType="separate"/>
          </w:r>
          <w:r>
            <w:rPr>
              <w:rFonts w:ascii="微软雅黑" w:hAnsi="微软雅黑" w:eastAsia="微软雅黑" w:cs="微软雅黑"/>
              <w:bCs/>
              <w:szCs w:val="21"/>
            </w:rPr>
            <w:t xml:space="preserve">3. </w:t>
          </w:r>
          <w:r>
            <w:rPr>
              <w:rFonts w:hint="eastAsia" w:ascii="微软雅黑" w:hAnsi="微软雅黑" w:eastAsia="微软雅黑" w:cs="微软雅黑"/>
              <w:szCs w:val="21"/>
            </w:rPr>
            <w:t>职责</w:t>
          </w:r>
          <w:r>
            <w:tab/>
          </w:r>
          <w:r>
            <w:fldChar w:fldCharType="begin"/>
          </w:r>
          <w:r>
            <w:instrText xml:space="preserve"> PAGEREF _Toc91003 \h </w:instrText>
          </w:r>
          <w:r>
            <w:fldChar w:fldCharType="separate"/>
          </w:r>
          <w:r>
            <w:t>4</w:t>
          </w:r>
          <w:r>
            <w:fldChar w:fldCharType="end"/>
          </w:r>
          <w:r>
            <w:fldChar w:fldCharType="end"/>
          </w:r>
        </w:p>
        <w:p w14:paraId="247736CA">
          <w:pPr>
            <w:pStyle w:val="12"/>
            <w:tabs>
              <w:tab w:val="right" w:leader="dot" w:pos="9638"/>
              <w:tab w:val="clear" w:pos="9627"/>
            </w:tabs>
            <w:spacing w:line="500" w:lineRule="exact"/>
          </w:pPr>
          <w:r>
            <w:fldChar w:fldCharType="begin"/>
          </w:r>
          <w:r>
            <w:instrText xml:space="preserve"> HYPERLINK \l "_Toc91004" </w:instrText>
          </w:r>
          <w:r>
            <w:fldChar w:fldCharType="separate"/>
          </w:r>
          <w:r>
            <w:rPr>
              <w:rFonts w:ascii="微软雅黑" w:hAnsi="微软雅黑" w:eastAsia="微软雅黑" w:cs="微软雅黑"/>
              <w:bCs/>
              <w:szCs w:val="21"/>
            </w:rPr>
            <w:t xml:space="preserve">4. </w:t>
          </w:r>
          <w:r>
            <w:rPr>
              <w:rFonts w:hint="eastAsia" w:ascii="微软雅黑" w:hAnsi="微软雅黑" w:eastAsia="微软雅黑" w:cs="微软雅黑"/>
              <w:szCs w:val="21"/>
            </w:rPr>
            <w:t>参考文件</w:t>
          </w:r>
          <w:r>
            <w:tab/>
          </w:r>
          <w:r>
            <w:fldChar w:fldCharType="begin"/>
          </w:r>
          <w:r>
            <w:instrText xml:space="preserve"> PAGEREF _Toc91004 \h </w:instrText>
          </w:r>
          <w:r>
            <w:fldChar w:fldCharType="separate"/>
          </w:r>
          <w:r>
            <w:t>4</w:t>
          </w:r>
          <w:r>
            <w:fldChar w:fldCharType="end"/>
          </w:r>
          <w:r>
            <w:fldChar w:fldCharType="end"/>
          </w:r>
        </w:p>
        <w:p w14:paraId="4EBF48F6">
          <w:pPr>
            <w:pStyle w:val="12"/>
            <w:tabs>
              <w:tab w:val="right" w:leader="dot" w:pos="9638"/>
              <w:tab w:val="clear" w:pos="9627"/>
            </w:tabs>
            <w:spacing w:line="500" w:lineRule="exact"/>
          </w:pPr>
          <w:r>
            <w:fldChar w:fldCharType="begin"/>
          </w:r>
          <w:r>
            <w:instrText xml:space="preserve"> HYPERLINK \l "_Toc91005" </w:instrText>
          </w:r>
          <w:r>
            <w:fldChar w:fldCharType="separate"/>
          </w:r>
          <w:r>
            <w:rPr>
              <w:rFonts w:ascii="微软雅黑" w:hAnsi="微软雅黑" w:eastAsia="微软雅黑" w:cs="微软雅黑"/>
              <w:bCs/>
              <w:szCs w:val="21"/>
            </w:rPr>
            <w:t xml:space="preserve">5. </w:t>
          </w:r>
          <w:r>
            <w:rPr>
              <w:rFonts w:hint="eastAsia" w:ascii="微软雅黑" w:hAnsi="微软雅黑" w:eastAsia="微软雅黑" w:cs="微软雅黑"/>
              <w:szCs w:val="21"/>
            </w:rPr>
            <w:t>缩写与定义</w:t>
          </w:r>
          <w:r>
            <w:tab/>
          </w:r>
          <w:r>
            <w:fldChar w:fldCharType="begin"/>
          </w:r>
          <w:r>
            <w:instrText xml:space="preserve"> PAGEREF _Toc91005 \h </w:instrText>
          </w:r>
          <w:r>
            <w:fldChar w:fldCharType="separate"/>
          </w:r>
          <w:r>
            <w:t>4</w:t>
          </w:r>
          <w:r>
            <w:fldChar w:fldCharType="end"/>
          </w:r>
          <w:r>
            <w:fldChar w:fldCharType="end"/>
          </w:r>
        </w:p>
        <w:p w14:paraId="121245BB">
          <w:pPr>
            <w:pStyle w:val="12"/>
            <w:tabs>
              <w:tab w:val="right" w:leader="dot" w:pos="9638"/>
              <w:tab w:val="clear" w:pos="9627"/>
            </w:tabs>
            <w:spacing w:line="500" w:lineRule="exact"/>
          </w:pPr>
          <w:r>
            <w:fldChar w:fldCharType="begin"/>
          </w:r>
          <w:r>
            <w:instrText xml:space="preserve"> HYPERLINK \l "_Toc91006" </w:instrText>
          </w:r>
          <w:r>
            <w:fldChar w:fldCharType="separate"/>
          </w:r>
          <w:r>
            <w:rPr>
              <w:rFonts w:ascii="微软雅黑" w:hAnsi="微软雅黑" w:eastAsia="微软雅黑" w:cs="微软雅黑"/>
              <w:bCs/>
              <w:szCs w:val="21"/>
            </w:rPr>
            <w:t xml:space="preserve">6. </w:t>
          </w:r>
          <w:r>
            <w:rPr>
              <w:rFonts w:hint="eastAsia" w:ascii="微软雅黑" w:hAnsi="微软雅黑" w:eastAsia="微软雅黑" w:cs="微软雅黑"/>
              <w:szCs w:val="21"/>
            </w:rPr>
            <w:t>设备描述</w:t>
          </w:r>
          <w:r>
            <w:tab/>
          </w:r>
          <w:r>
            <w:fldChar w:fldCharType="begin"/>
          </w:r>
          <w:r>
            <w:instrText xml:space="preserve"> PAGEREF _Toc91006 \h </w:instrText>
          </w:r>
          <w:r>
            <w:fldChar w:fldCharType="separate"/>
          </w:r>
          <w:r>
            <w:t>5</w:t>
          </w:r>
          <w:r>
            <w:fldChar w:fldCharType="end"/>
          </w:r>
          <w:r>
            <w:fldChar w:fldCharType="end"/>
          </w:r>
        </w:p>
        <w:p w14:paraId="459FDAF1">
          <w:pPr>
            <w:pStyle w:val="12"/>
            <w:tabs>
              <w:tab w:val="right" w:leader="dot" w:pos="9638"/>
              <w:tab w:val="clear" w:pos="9627"/>
            </w:tabs>
            <w:spacing w:line="500" w:lineRule="exact"/>
          </w:pPr>
          <w:r>
            <w:fldChar w:fldCharType="begin"/>
          </w:r>
          <w:r>
            <w:instrText xml:space="preserve"> HYPERLINK \l "_Toc91007" </w:instrText>
          </w:r>
          <w:r>
            <w:fldChar w:fldCharType="separate"/>
          </w:r>
          <w:r>
            <w:rPr>
              <w:rFonts w:ascii="微软雅黑" w:hAnsi="微软雅黑" w:eastAsia="微软雅黑" w:cs="微软雅黑"/>
              <w:bCs/>
              <w:szCs w:val="21"/>
            </w:rPr>
            <w:t xml:space="preserve">7. </w:t>
          </w:r>
          <w:r>
            <w:rPr>
              <w:rFonts w:hint="eastAsia" w:ascii="微软雅黑" w:hAnsi="微软雅黑" w:eastAsia="微软雅黑" w:cs="微软雅黑"/>
              <w:szCs w:val="21"/>
            </w:rPr>
            <w:t>内容</w:t>
          </w:r>
          <w:r>
            <w:tab/>
          </w:r>
          <w:r>
            <w:fldChar w:fldCharType="begin"/>
          </w:r>
          <w:r>
            <w:instrText xml:space="preserve"> PAGEREF _Toc91007 \h </w:instrText>
          </w:r>
          <w:r>
            <w:fldChar w:fldCharType="separate"/>
          </w:r>
          <w:r>
            <w:t>5</w:t>
          </w:r>
          <w:r>
            <w:fldChar w:fldCharType="end"/>
          </w:r>
          <w:r>
            <w:fldChar w:fldCharType="end"/>
          </w:r>
        </w:p>
        <w:p w14:paraId="42F320DA">
          <w:pPr>
            <w:pStyle w:val="12"/>
            <w:tabs>
              <w:tab w:val="right" w:leader="dot" w:pos="9638"/>
              <w:tab w:val="clear" w:pos="9627"/>
            </w:tabs>
            <w:spacing w:line="500" w:lineRule="exact"/>
          </w:pPr>
          <w:r>
            <w:fldChar w:fldCharType="begin"/>
          </w:r>
          <w:r>
            <w:instrText xml:space="preserve"> HYPERLINK \l "_Toc91008" </w:instrText>
          </w:r>
          <w:r>
            <w:fldChar w:fldCharType="separate"/>
          </w:r>
          <w:r>
            <w:rPr>
              <w:rFonts w:ascii="微软雅黑" w:hAnsi="微软雅黑" w:eastAsia="微软雅黑" w:cs="微软雅黑"/>
              <w:bCs/>
              <w:szCs w:val="21"/>
            </w:rPr>
            <w:t xml:space="preserve">7.1. </w:t>
          </w:r>
          <w:r>
            <w:rPr>
              <w:rFonts w:hint="eastAsia" w:ascii="微软雅黑" w:hAnsi="微软雅黑" w:eastAsia="微软雅黑" w:cs="微软雅黑"/>
              <w:szCs w:val="21"/>
            </w:rPr>
            <w:t>碟式离心机</w:t>
          </w:r>
          <w:r>
            <w:tab/>
          </w:r>
          <w:r>
            <w:fldChar w:fldCharType="begin"/>
          </w:r>
          <w:r>
            <w:instrText xml:space="preserve"> PAGEREF _Toc91008 \h </w:instrText>
          </w:r>
          <w:r>
            <w:fldChar w:fldCharType="separate"/>
          </w:r>
          <w:r>
            <w:t>5</w:t>
          </w:r>
          <w:r>
            <w:fldChar w:fldCharType="end"/>
          </w:r>
          <w:r>
            <w:fldChar w:fldCharType="end"/>
          </w:r>
        </w:p>
        <w:p w14:paraId="1DDCFADF">
          <w:pPr>
            <w:pStyle w:val="12"/>
            <w:tabs>
              <w:tab w:val="right" w:leader="dot" w:pos="9638"/>
              <w:tab w:val="clear" w:pos="9627"/>
            </w:tabs>
            <w:spacing w:line="500" w:lineRule="exact"/>
          </w:pPr>
          <w:r>
            <w:fldChar w:fldCharType="begin"/>
          </w:r>
          <w:r>
            <w:instrText xml:space="preserve"> HYPERLINK \l "_Toc91009" </w:instrText>
          </w:r>
          <w:r>
            <w:fldChar w:fldCharType="separate"/>
          </w:r>
          <w:r>
            <w:rPr>
              <w:rFonts w:ascii="微软雅黑" w:hAnsi="微软雅黑" w:eastAsia="微软雅黑" w:cs="微软雅黑"/>
              <w:bCs/>
              <w:szCs w:val="21"/>
            </w:rPr>
            <w:t xml:space="preserve">7.2. </w:t>
          </w:r>
          <w:r>
            <w:rPr>
              <w:rFonts w:hint="eastAsia" w:ascii="微软雅黑" w:hAnsi="微软雅黑" w:eastAsia="微软雅黑" w:cs="微软雅黑"/>
              <w:szCs w:val="21"/>
            </w:rPr>
            <w:t>均质机</w:t>
          </w:r>
          <w:r>
            <w:tab/>
          </w:r>
          <w:r>
            <w:fldChar w:fldCharType="begin"/>
          </w:r>
          <w:r>
            <w:instrText xml:space="preserve"> PAGEREF _Toc91009 \h </w:instrText>
          </w:r>
          <w:r>
            <w:fldChar w:fldCharType="separate"/>
          </w:r>
          <w:r>
            <w:t>6</w:t>
          </w:r>
          <w:r>
            <w:fldChar w:fldCharType="end"/>
          </w:r>
          <w:r>
            <w:fldChar w:fldCharType="end"/>
          </w:r>
        </w:p>
        <w:p w14:paraId="2D2FB727">
          <w:pPr>
            <w:pStyle w:val="12"/>
            <w:tabs>
              <w:tab w:val="right" w:leader="dot" w:pos="9638"/>
              <w:tab w:val="clear" w:pos="9627"/>
            </w:tabs>
            <w:spacing w:line="500" w:lineRule="exact"/>
          </w:pPr>
          <w:r>
            <w:fldChar w:fldCharType="begin"/>
          </w:r>
          <w:r>
            <w:instrText xml:space="preserve"> HYPERLINK \l "_Toc91010" </w:instrText>
          </w:r>
          <w:r>
            <w:fldChar w:fldCharType="separate"/>
          </w:r>
          <w:r>
            <w:rPr>
              <w:rFonts w:ascii="微软雅黑" w:hAnsi="微软雅黑" w:eastAsia="微软雅黑" w:cs="微软雅黑"/>
              <w:bCs/>
              <w:szCs w:val="21"/>
            </w:rPr>
            <w:t xml:space="preserve">7.3. </w:t>
          </w:r>
          <w:r>
            <w:rPr>
              <w:rFonts w:hint="eastAsia" w:ascii="微软雅黑" w:hAnsi="微软雅黑" w:eastAsia="微软雅黑" w:cs="微软雅黑"/>
              <w:szCs w:val="21"/>
            </w:rPr>
            <w:t>陶瓷膜微滤</w:t>
          </w:r>
          <w:r>
            <w:tab/>
          </w:r>
          <w:r>
            <w:fldChar w:fldCharType="begin"/>
          </w:r>
          <w:r>
            <w:instrText xml:space="preserve"> PAGEREF _Toc91010 \h </w:instrText>
          </w:r>
          <w:r>
            <w:fldChar w:fldCharType="separate"/>
          </w:r>
          <w:r>
            <w:t>8</w:t>
          </w:r>
          <w:r>
            <w:fldChar w:fldCharType="end"/>
          </w:r>
          <w:r>
            <w:fldChar w:fldCharType="end"/>
          </w:r>
        </w:p>
        <w:p w14:paraId="4CFE48CA">
          <w:pPr>
            <w:pStyle w:val="12"/>
            <w:tabs>
              <w:tab w:val="right" w:leader="dot" w:pos="9638"/>
              <w:tab w:val="clear" w:pos="9627"/>
            </w:tabs>
            <w:spacing w:line="500" w:lineRule="exact"/>
          </w:pPr>
          <w:r>
            <w:fldChar w:fldCharType="begin"/>
          </w:r>
          <w:r>
            <w:instrText xml:space="preserve"> HYPERLINK \l "_Toc91011" </w:instrText>
          </w:r>
          <w:r>
            <w:fldChar w:fldCharType="separate"/>
          </w:r>
          <w:r>
            <w:rPr>
              <w:rFonts w:ascii="微软雅黑" w:hAnsi="微软雅黑" w:eastAsia="微软雅黑" w:cs="微软雅黑"/>
              <w:bCs/>
              <w:szCs w:val="21"/>
            </w:rPr>
            <w:t xml:space="preserve">7.4. </w:t>
          </w:r>
          <w:r>
            <w:rPr>
              <w:rFonts w:hint="eastAsia" w:ascii="微软雅黑" w:hAnsi="微软雅黑" w:eastAsia="微软雅黑" w:cs="微软雅黑"/>
              <w:szCs w:val="21"/>
            </w:rPr>
            <w:t>层析系统</w:t>
          </w:r>
          <w:r>
            <w:tab/>
          </w:r>
          <w:r>
            <w:fldChar w:fldCharType="begin"/>
          </w:r>
          <w:r>
            <w:instrText xml:space="preserve"> PAGEREF _Toc91011 \h </w:instrText>
          </w:r>
          <w:r>
            <w:fldChar w:fldCharType="separate"/>
          </w:r>
          <w:r>
            <w:t>10</w:t>
          </w:r>
          <w:r>
            <w:fldChar w:fldCharType="end"/>
          </w:r>
          <w:r>
            <w:fldChar w:fldCharType="end"/>
          </w:r>
        </w:p>
        <w:p w14:paraId="36ACC0A8">
          <w:pPr>
            <w:pStyle w:val="12"/>
            <w:tabs>
              <w:tab w:val="right" w:leader="dot" w:pos="9638"/>
              <w:tab w:val="clear" w:pos="9627"/>
            </w:tabs>
            <w:spacing w:line="500" w:lineRule="exact"/>
          </w:pPr>
          <w:r>
            <w:fldChar w:fldCharType="begin"/>
          </w:r>
          <w:r>
            <w:instrText xml:space="preserve"> HYPERLINK \l "_Toc91012" </w:instrText>
          </w:r>
          <w:r>
            <w:fldChar w:fldCharType="separate"/>
          </w:r>
          <w:r>
            <w:rPr>
              <w:rFonts w:ascii="微软雅黑" w:hAnsi="微软雅黑" w:eastAsia="微软雅黑" w:cs="微软雅黑"/>
              <w:bCs/>
              <w:szCs w:val="21"/>
            </w:rPr>
            <w:t xml:space="preserve">7.5. </w:t>
          </w:r>
          <w:r>
            <w:rPr>
              <w:rFonts w:hint="eastAsia" w:ascii="微软雅黑" w:hAnsi="微软雅黑" w:eastAsia="微软雅黑" w:cs="微软雅黑"/>
              <w:szCs w:val="21"/>
            </w:rPr>
            <w:t>陶瓷膜</w:t>
          </w:r>
          <w:r>
            <w:rPr>
              <w:rFonts w:hint="eastAsia" w:ascii="微软雅黑" w:hAnsi="微软雅黑" w:eastAsia="微软雅黑" w:cs="微软雅黑"/>
              <w:szCs w:val="21"/>
              <w:lang w:val="en-US" w:eastAsia="zh-CN"/>
            </w:rPr>
            <w:t>微滤</w:t>
          </w:r>
          <w:r>
            <w:tab/>
          </w:r>
          <w:r>
            <w:fldChar w:fldCharType="begin"/>
          </w:r>
          <w:r>
            <w:instrText xml:space="preserve"> PAGEREF _Toc91012 \h </w:instrText>
          </w:r>
          <w:r>
            <w:fldChar w:fldCharType="separate"/>
          </w:r>
          <w:r>
            <w:t>12</w:t>
          </w:r>
          <w:r>
            <w:fldChar w:fldCharType="end"/>
          </w:r>
          <w:r>
            <w:fldChar w:fldCharType="end"/>
          </w:r>
        </w:p>
        <w:p w14:paraId="35D7EC56">
          <w:pPr>
            <w:pStyle w:val="12"/>
            <w:tabs>
              <w:tab w:val="right" w:leader="dot" w:pos="9638"/>
              <w:tab w:val="clear" w:pos="9627"/>
            </w:tabs>
            <w:spacing w:line="500" w:lineRule="exact"/>
          </w:pPr>
          <w:r>
            <w:fldChar w:fldCharType="begin"/>
          </w:r>
          <w:r>
            <w:instrText xml:space="preserve"> HYPERLINK \l "_Toc91013" </w:instrText>
          </w:r>
          <w:r>
            <w:fldChar w:fldCharType="separate"/>
          </w:r>
          <w:r>
            <w:rPr>
              <w:rFonts w:ascii="微软雅黑" w:hAnsi="微软雅黑" w:eastAsia="微软雅黑" w:cs="微软雅黑"/>
              <w:bCs/>
              <w:szCs w:val="21"/>
            </w:rPr>
            <w:t xml:space="preserve">7.6. </w:t>
          </w:r>
          <w:r>
            <w:rPr>
              <w:rFonts w:hint="eastAsia" w:ascii="微软雅黑" w:hAnsi="微软雅黑" w:eastAsia="微软雅黑" w:cs="微软雅黑"/>
              <w:szCs w:val="21"/>
            </w:rPr>
            <w:t>结晶</w:t>
          </w:r>
          <w:r>
            <w:rPr>
              <w:rFonts w:hint="eastAsia" w:ascii="微软雅黑" w:hAnsi="微软雅黑" w:eastAsia="微软雅黑" w:cs="微软雅黑"/>
              <w:szCs w:val="21"/>
              <w:lang w:val="en-US" w:eastAsia="zh-CN"/>
            </w:rPr>
            <w:t>罐</w:t>
          </w:r>
          <w:r>
            <w:tab/>
          </w:r>
          <w:r>
            <w:fldChar w:fldCharType="begin"/>
          </w:r>
          <w:r>
            <w:instrText xml:space="preserve"> PAGEREF _Toc91013 \h </w:instrText>
          </w:r>
          <w:r>
            <w:fldChar w:fldCharType="separate"/>
          </w:r>
          <w:r>
            <w:t>14</w:t>
          </w:r>
          <w:r>
            <w:fldChar w:fldCharType="end"/>
          </w:r>
          <w:r>
            <w:fldChar w:fldCharType="end"/>
          </w:r>
        </w:p>
        <w:p w14:paraId="1592D660">
          <w:pPr>
            <w:pStyle w:val="12"/>
            <w:tabs>
              <w:tab w:val="right" w:leader="dot" w:pos="9638"/>
              <w:tab w:val="clear" w:pos="9627"/>
            </w:tabs>
            <w:spacing w:line="500" w:lineRule="exact"/>
          </w:pPr>
          <w:r>
            <w:fldChar w:fldCharType="begin"/>
          </w:r>
          <w:r>
            <w:instrText xml:space="preserve"> HYPERLINK \l "_Toc91014" </w:instrText>
          </w:r>
          <w:r>
            <w:fldChar w:fldCharType="separate"/>
          </w:r>
          <w:r>
            <w:rPr>
              <w:rFonts w:ascii="微软雅黑" w:hAnsi="微软雅黑" w:eastAsia="微软雅黑" w:cs="微软雅黑"/>
              <w:bCs/>
              <w:szCs w:val="21"/>
            </w:rPr>
            <w:t xml:space="preserve">7.7. </w:t>
          </w:r>
          <w:r>
            <w:rPr>
              <w:rFonts w:hint="eastAsia" w:ascii="微软雅黑" w:hAnsi="微软雅黑" w:eastAsia="微软雅黑" w:cs="微软雅黑"/>
              <w:szCs w:val="21"/>
            </w:rPr>
            <w:t>冻干机</w:t>
          </w:r>
          <w:r>
            <w:tab/>
          </w:r>
          <w:r>
            <w:fldChar w:fldCharType="begin"/>
          </w:r>
          <w:r>
            <w:instrText xml:space="preserve"> PAGEREF _Toc91014 \h </w:instrText>
          </w:r>
          <w:r>
            <w:fldChar w:fldCharType="separate"/>
          </w:r>
          <w:r>
            <w:t>15</w:t>
          </w:r>
          <w:r>
            <w:fldChar w:fldCharType="end"/>
          </w:r>
          <w:r>
            <w:fldChar w:fldCharType="end"/>
          </w:r>
        </w:p>
        <w:p w14:paraId="1F694F52">
          <w:pPr>
            <w:pStyle w:val="12"/>
            <w:tabs>
              <w:tab w:val="right" w:leader="dot" w:pos="9638"/>
              <w:tab w:val="clear" w:pos="9627"/>
            </w:tabs>
            <w:spacing w:line="500" w:lineRule="exact"/>
          </w:pPr>
          <w:r>
            <w:fldChar w:fldCharType="begin"/>
          </w:r>
          <w:r>
            <w:instrText xml:space="preserve"> HYPERLINK \l "_Toc91015" </w:instrText>
          </w:r>
          <w:r>
            <w:fldChar w:fldCharType="separate"/>
          </w:r>
          <w:r>
            <w:rPr>
              <w:rFonts w:ascii="微软雅黑" w:hAnsi="微软雅黑" w:eastAsia="微软雅黑" w:cs="微软雅黑"/>
              <w:bCs/>
              <w:szCs w:val="21"/>
            </w:rPr>
            <w:t xml:space="preserve">8. </w:t>
          </w:r>
          <w:r>
            <w:rPr>
              <w:rFonts w:hint="eastAsia" w:ascii="微软雅黑" w:hAnsi="微软雅黑" w:eastAsia="微软雅黑" w:cs="微软雅黑"/>
              <w:szCs w:val="21"/>
            </w:rPr>
            <w:t>智能控制系统要求</w:t>
          </w:r>
          <w:r>
            <w:tab/>
          </w:r>
          <w:r>
            <w:fldChar w:fldCharType="begin"/>
          </w:r>
          <w:r>
            <w:instrText xml:space="preserve"> PAGEREF _Toc91015 \h </w:instrText>
          </w:r>
          <w:r>
            <w:fldChar w:fldCharType="separate"/>
          </w:r>
          <w:r>
            <w:t>17</w:t>
          </w:r>
          <w:r>
            <w:fldChar w:fldCharType="end"/>
          </w:r>
          <w:r>
            <w:fldChar w:fldCharType="end"/>
          </w:r>
        </w:p>
        <w:p w14:paraId="50DD970B">
          <w:pPr>
            <w:pStyle w:val="12"/>
            <w:tabs>
              <w:tab w:val="right" w:leader="dot" w:pos="9638"/>
              <w:tab w:val="clear" w:pos="9627"/>
            </w:tabs>
            <w:spacing w:line="500" w:lineRule="exact"/>
          </w:pPr>
          <w:r>
            <w:fldChar w:fldCharType="begin"/>
          </w:r>
          <w:r>
            <w:instrText xml:space="preserve"> HYPERLINK \l "_Toc91016" </w:instrText>
          </w:r>
          <w:r>
            <w:fldChar w:fldCharType="separate"/>
          </w:r>
          <w:r>
            <w:rPr>
              <w:rFonts w:ascii="微软雅黑" w:hAnsi="微软雅黑" w:eastAsia="微软雅黑" w:cs="微软雅黑"/>
              <w:bCs/>
              <w:szCs w:val="21"/>
            </w:rPr>
            <w:t xml:space="preserve">9. </w:t>
          </w:r>
          <w:r>
            <w:rPr>
              <w:rFonts w:hint="eastAsia" w:ascii="微软雅黑" w:hAnsi="微软雅黑" w:eastAsia="微软雅黑" w:cs="微软雅黑"/>
              <w:szCs w:val="21"/>
            </w:rPr>
            <w:t>安装调试及培训、验证和文件需求</w:t>
          </w:r>
          <w:r>
            <w:tab/>
          </w:r>
          <w:r>
            <w:fldChar w:fldCharType="begin"/>
          </w:r>
          <w:r>
            <w:instrText xml:space="preserve"> PAGEREF _Toc91016 \h </w:instrText>
          </w:r>
          <w:r>
            <w:fldChar w:fldCharType="separate"/>
          </w:r>
          <w:r>
            <w:t>18</w:t>
          </w:r>
          <w:r>
            <w:fldChar w:fldCharType="end"/>
          </w:r>
          <w:r>
            <w:fldChar w:fldCharType="end"/>
          </w:r>
        </w:p>
        <w:p w14:paraId="3423310D">
          <w:pPr>
            <w:pStyle w:val="12"/>
            <w:tabs>
              <w:tab w:val="right" w:leader="dot" w:pos="9638"/>
              <w:tab w:val="clear" w:pos="9627"/>
            </w:tabs>
            <w:spacing w:line="500" w:lineRule="exact"/>
          </w:pPr>
          <w:r>
            <w:fldChar w:fldCharType="begin"/>
          </w:r>
          <w:r>
            <w:instrText xml:space="preserve"> HYPERLINK \l "_Toc91017" </w:instrText>
          </w:r>
          <w:r>
            <w:fldChar w:fldCharType="separate"/>
          </w:r>
          <w:r>
            <w:rPr>
              <w:rFonts w:ascii="微软雅黑" w:hAnsi="微软雅黑" w:eastAsia="微软雅黑" w:cs="微软雅黑"/>
              <w:bCs/>
              <w:szCs w:val="21"/>
            </w:rPr>
            <w:t xml:space="preserve">10. </w:t>
          </w:r>
          <w:r>
            <w:rPr>
              <w:rFonts w:hint="eastAsia" w:ascii="微软雅黑" w:hAnsi="微软雅黑" w:eastAsia="微软雅黑" w:cs="微软雅黑"/>
              <w:szCs w:val="21"/>
            </w:rPr>
            <w:t>操作和维护</w:t>
          </w:r>
          <w:r>
            <w:tab/>
          </w:r>
          <w:r>
            <w:fldChar w:fldCharType="begin"/>
          </w:r>
          <w:r>
            <w:instrText xml:space="preserve"> PAGEREF _Toc91017 \h </w:instrText>
          </w:r>
          <w:r>
            <w:fldChar w:fldCharType="separate"/>
          </w:r>
          <w:r>
            <w:t>18</w:t>
          </w:r>
          <w:r>
            <w:fldChar w:fldCharType="end"/>
          </w:r>
          <w:r>
            <w:fldChar w:fldCharType="end"/>
          </w:r>
        </w:p>
        <w:p w14:paraId="7743987D">
          <w:pPr>
            <w:pStyle w:val="12"/>
            <w:tabs>
              <w:tab w:val="right" w:leader="dot" w:pos="9638"/>
              <w:tab w:val="clear" w:pos="9627"/>
            </w:tabs>
            <w:spacing w:line="500" w:lineRule="exact"/>
          </w:pPr>
          <w:r>
            <w:fldChar w:fldCharType="begin"/>
          </w:r>
          <w:r>
            <w:instrText xml:space="preserve"> HYPERLINK \l "_Toc91018" </w:instrText>
          </w:r>
          <w:r>
            <w:fldChar w:fldCharType="separate"/>
          </w:r>
          <w:r>
            <w:rPr>
              <w:rFonts w:ascii="微软雅黑" w:hAnsi="微软雅黑" w:eastAsia="微软雅黑" w:cs="微软雅黑"/>
              <w:bCs/>
              <w:szCs w:val="21"/>
            </w:rPr>
            <w:t xml:space="preserve">11. </w:t>
          </w:r>
          <w:r>
            <w:rPr>
              <w:rFonts w:hint="eastAsia" w:ascii="微软雅黑" w:hAnsi="微软雅黑" w:eastAsia="微软雅黑" w:cs="微软雅黑"/>
              <w:szCs w:val="21"/>
            </w:rPr>
            <w:t>包装及运输需求</w:t>
          </w:r>
          <w:r>
            <w:tab/>
          </w:r>
          <w:r>
            <w:fldChar w:fldCharType="begin"/>
          </w:r>
          <w:r>
            <w:instrText xml:space="preserve"> PAGEREF _Toc91018 \h </w:instrText>
          </w:r>
          <w:r>
            <w:fldChar w:fldCharType="separate"/>
          </w:r>
          <w:r>
            <w:t>19</w:t>
          </w:r>
          <w:r>
            <w:fldChar w:fldCharType="end"/>
          </w:r>
          <w:r>
            <w:fldChar w:fldCharType="end"/>
          </w:r>
        </w:p>
        <w:p w14:paraId="63211011">
          <w:pPr>
            <w:pStyle w:val="12"/>
            <w:tabs>
              <w:tab w:val="right" w:leader="dot" w:pos="9638"/>
              <w:tab w:val="clear" w:pos="9627"/>
            </w:tabs>
            <w:spacing w:line="500" w:lineRule="exact"/>
          </w:pPr>
          <w:r>
            <w:fldChar w:fldCharType="begin"/>
          </w:r>
          <w:r>
            <w:instrText xml:space="preserve"> HYPERLINK \l "_Toc91019" </w:instrText>
          </w:r>
          <w:r>
            <w:fldChar w:fldCharType="separate"/>
          </w:r>
          <w:r>
            <w:rPr>
              <w:rFonts w:ascii="微软雅黑" w:hAnsi="微软雅黑" w:eastAsia="微软雅黑" w:cs="微软雅黑"/>
              <w:bCs/>
              <w:szCs w:val="21"/>
            </w:rPr>
            <w:t xml:space="preserve">12. </w:t>
          </w:r>
          <w:r>
            <w:rPr>
              <w:rFonts w:hint="eastAsia" w:ascii="微软雅黑" w:hAnsi="微软雅黑" w:eastAsia="微软雅黑" w:cs="微软雅黑"/>
              <w:szCs w:val="21"/>
            </w:rPr>
            <w:t>维护和售后需求</w:t>
          </w:r>
          <w:r>
            <w:tab/>
          </w:r>
          <w:r>
            <w:fldChar w:fldCharType="begin"/>
          </w:r>
          <w:r>
            <w:instrText xml:space="preserve"> PAGEREF _Toc91019 \h </w:instrText>
          </w:r>
          <w:r>
            <w:fldChar w:fldCharType="separate"/>
          </w:r>
          <w:r>
            <w:t>19</w:t>
          </w:r>
          <w:r>
            <w:fldChar w:fldCharType="end"/>
          </w:r>
          <w:r>
            <w:fldChar w:fldCharType="end"/>
          </w:r>
        </w:p>
        <w:p w14:paraId="0298E60E">
          <w:pPr>
            <w:pStyle w:val="12"/>
            <w:tabs>
              <w:tab w:val="right" w:leader="dot" w:pos="9638"/>
              <w:tab w:val="clear" w:pos="9627"/>
            </w:tabs>
            <w:spacing w:line="500" w:lineRule="exact"/>
          </w:pPr>
          <w:r>
            <w:fldChar w:fldCharType="begin"/>
          </w:r>
          <w:r>
            <w:instrText xml:space="preserve"> HYPERLINK \l "_Toc91020" </w:instrText>
          </w:r>
          <w:r>
            <w:fldChar w:fldCharType="separate"/>
          </w:r>
          <w:r>
            <w:rPr>
              <w:rFonts w:ascii="微软雅黑" w:hAnsi="微软雅黑" w:eastAsia="微软雅黑" w:cs="微软雅黑"/>
              <w:bCs/>
              <w:szCs w:val="21"/>
            </w:rPr>
            <w:t xml:space="preserve">13. </w:t>
          </w:r>
          <w:r>
            <w:rPr>
              <w:rFonts w:hint="eastAsia" w:ascii="微软雅黑" w:hAnsi="微软雅黑" w:eastAsia="微软雅黑" w:cs="微软雅黑"/>
              <w:szCs w:val="21"/>
            </w:rPr>
            <w:t>验收标准</w:t>
          </w:r>
          <w:r>
            <w:tab/>
          </w:r>
          <w:r>
            <w:fldChar w:fldCharType="begin"/>
          </w:r>
          <w:r>
            <w:instrText xml:space="preserve"> PAGEREF _Toc91020 \h </w:instrText>
          </w:r>
          <w:r>
            <w:fldChar w:fldCharType="separate"/>
          </w:r>
          <w:r>
            <w:t>20</w:t>
          </w:r>
          <w:r>
            <w:fldChar w:fldCharType="end"/>
          </w:r>
          <w:r>
            <w:fldChar w:fldCharType="end"/>
          </w:r>
        </w:p>
        <w:p w14:paraId="667060A4">
          <w:pPr>
            <w:pStyle w:val="12"/>
            <w:tabs>
              <w:tab w:val="right" w:leader="dot" w:pos="9638"/>
              <w:tab w:val="clear" w:pos="9627"/>
            </w:tabs>
            <w:spacing w:line="500" w:lineRule="exact"/>
          </w:pPr>
          <w:r>
            <w:fldChar w:fldCharType="begin"/>
          </w:r>
          <w:r>
            <w:instrText xml:space="preserve"> HYPERLINK \l "_Toc91021" </w:instrText>
          </w:r>
          <w:r>
            <w:fldChar w:fldCharType="separate"/>
          </w:r>
          <w:r>
            <w:rPr>
              <w:rFonts w:ascii="微软雅黑" w:hAnsi="微软雅黑" w:eastAsia="微软雅黑" w:cs="微软雅黑"/>
              <w:bCs/>
              <w:szCs w:val="21"/>
            </w:rPr>
            <w:t xml:space="preserve">14. </w:t>
          </w:r>
          <w:r>
            <w:rPr>
              <w:rFonts w:hint="eastAsia" w:ascii="微软雅黑" w:hAnsi="微软雅黑" w:eastAsia="微软雅黑" w:cs="微软雅黑"/>
              <w:szCs w:val="21"/>
            </w:rPr>
            <w:t>保密约定</w:t>
          </w:r>
          <w:r>
            <w:tab/>
          </w:r>
          <w:r>
            <w:fldChar w:fldCharType="begin"/>
          </w:r>
          <w:r>
            <w:instrText xml:space="preserve"> PAGEREF _Toc91021 \h </w:instrText>
          </w:r>
          <w:r>
            <w:fldChar w:fldCharType="separate"/>
          </w:r>
          <w:r>
            <w:t>21</w:t>
          </w:r>
          <w:r>
            <w:fldChar w:fldCharType="end"/>
          </w:r>
          <w:r>
            <w:fldChar w:fldCharType="end"/>
          </w:r>
        </w:p>
        <w:p w14:paraId="1618A5E9">
          <w:pPr>
            <w:adjustRightInd w:val="0"/>
            <w:snapToGrid w:val="0"/>
            <w:rPr>
              <w:b/>
              <w:szCs w:val="36"/>
            </w:rPr>
          </w:pPr>
          <w:r>
            <w:rPr>
              <w:rFonts w:hint="eastAsia" w:ascii="微软雅黑" w:hAnsi="微软雅黑" w:eastAsia="微软雅黑" w:cs="微软雅黑"/>
              <w:szCs w:val="21"/>
            </w:rPr>
            <w:fldChar w:fldCharType="end"/>
          </w:r>
        </w:p>
      </w:sdtContent>
    </w:sdt>
    <w:p w14:paraId="054082B6">
      <w:pPr>
        <w:adjustRightInd w:val="0"/>
        <w:snapToGrid w:val="0"/>
        <w:rPr>
          <w:b/>
          <w:szCs w:val="36"/>
        </w:rPr>
      </w:pPr>
    </w:p>
    <w:p w14:paraId="6FFDFB8B">
      <w:pPr>
        <w:adjustRightInd w:val="0"/>
        <w:snapToGrid w:val="0"/>
        <w:spacing w:line="20" w:lineRule="exact"/>
        <w:rPr>
          <w:szCs w:val="21"/>
        </w:rPr>
      </w:pPr>
    </w:p>
    <w:tbl>
      <w:tblPr>
        <w:tblStyle w:val="15"/>
        <w:tblpPr w:leftFromText="180" w:rightFromText="180" w:vertAnchor="text" w:tblpXSpec="center" w:tblpY="1"/>
        <w:tblOverlap w:val="never"/>
        <w:tblW w:w="9342" w:type="dxa"/>
        <w:jc w:val="center"/>
        <w:tblLayout w:type="autofit"/>
        <w:tblCellMar>
          <w:top w:w="0" w:type="dxa"/>
          <w:left w:w="108" w:type="dxa"/>
          <w:bottom w:w="0" w:type="dxa"/>
          <w:right w:w="108" w:type="dxa"/>
        </w:tblCellMar>
      </w:tblPr>
      <w:tblGrid>
        <w:gridCol w:w="1131"/>
        <w:gridCol w:w="160"/>
        <w:gridCol w:w="2318"/>
        <w:gridCol w:w="4461"/>
        <w:gridCol w:w="291"/>
        <w:gridCol w:w="968"/>
        <w:gridCol w:w="13"/>
      </w:tblGrid>
      <w:tr w14:paraId="271F8655">
        <w:tblPrEx>
          <w:tblCellMar>
            <w:top w:w="0" w:type="dxa"/>
            <w:left w:w="108" w:type="dxa"/>
            <w:bottom w:w="0" w:type="dxa"/>
            <w:right w:w="108" w:type="dxa"/>
          </w:tblCellMar>
        </w:tblPrEx>
        <w:trPr>
          <w:cantSplit/>
          <w:trHeight w:val="397" w:hRule="atLeast"/>
          <w:jc w:val="center"/>
        </w:trPr>
        <w:tc>
          <w:tcPr>
            <w:tcW w:w="9342" w:type="dxa"/>
            <w:gridSpan w:val="7"/>
          </w:tcPr>
          <w:p w14:paraId="0032EB25">
            <w:pPr>
              <w:keepNext/>
              <w:numPr>
                <w:ilvl w:val="0"/>
                <w:numId w:val="4"/>
              </w:numPr>
              <w:spacing w:line="400" w:lineRule="exact"/>
              <w:ind w:left="1106" w:hanging="1106"/>
              <w:outlineLvl w:val="0"/>
              <w:rPr>
                <w:rFonts w:ascii="微软雅黑" w:hAnsi="微软雅黑" w:eastAsia="微软雅黑" w:cs="微软雅黑"/>
                <w:b/>
                <w:szCs w:val="21"/>
              </w:rPr>
            </w:pPr>
            <w:bookmarkStart w:id="0" w:name="_Toc91001"/>
            <w:r>
              <w:rPr>
                <w:rFonts w:hint="eastAsia" w:ascii="微软雅黑" w:hAnsi="微软雅黑" w:eastAsia="微软雅黑" w:cs="微软雅黑"/>
                <w:b/>
                <w:szCs w:val="21"/>
              </w:rPr>
              <w:t>目的</w:t>
            </w:r>
            <w:bookmarkEnd w:id="0"/>
          </w:p>
        </w:tc>
      </w:tr>
      <w:tr w14:paraId="5175A5C6">
        <w:tblPrEx>
          <w:tblCellMar>
            <w:top w:w="0" w:type="dxa"/>
            <w:left w:w="108" w:type="dxa"/>
            <w:bottom w:w="0" w:type="dxa"/>
            <w:right w:w="108" w:type="dxa"/>
          </w:tblCellMar>
        </w:tblPrEx>
        <w:trPr>
          <w:trHeight w:val="90" w:hRule="atLeast"/>
          <w:jc w:val="center"/>
        </w:trPr>
        <w:tc>
          <w:tcPr>
            <w:tcW w:w="1131" w:type="dxa"/>
          </w:tcPr>
          <w:p w14:paraId="49D16AA7">
            <w:pPr>
              <w:spacing w:line="400" w:lineRule="exact"/>
              <w:rPr>
                <w:rFonts w:ascii="微软雅黑" w:hAnsi="微软雅黑" w:eastAsia="微软雅黑" w:cs="微软雅黑"/>
                <w:szCs w:val="21"/>
              </w:rPr>
            </w:pPr>
          </w:p>
        </w:tc>
        <w:tc>
          <w:tcPr>
            <w:tcW w:w="8211" w:type="dxa"/>
            <w:gridSpan w:val="6"/>
          </w:tcPr>
          <w:p w14:paraId="601A94D5">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本用户需求说明书（URS）旨在明确国家生物制造产业创新中心对AI智能发酵液纯化自动化平台设备的功能需求、性能指标、配置要求、安装调试、培训、验收及售后服务要求，为设备选型、采购、安装、调试、验收和后续使用维护提供统一依据。</w:t>
            </w:r>
          </w:p>
          <w:p w14:paraId="51D0AD89">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本URS文件仅提出基本的技术要求，并未限制设备生产商具有更高的设计与制造标准和更加完善的功能、配置、性能以及更优异的部件。</w:t>
            </w:r>
          </w:p>
        </w:tc>
      </w:tr>
      <w:tr w14:paraId="7C2C4EC5">
        <w:tblPrEx>
          <w:tblCellMar>
            <w:top w:w="0" w:type="dxa"/>
            <w:left w:w="108" w:type="dxa"/>
            <w:bottom w:w="0" w:type="dxa"/>
            <w:right w:w="108" w:type="dxa"/>
          </w:tblCellMar>
        </w:tblPrEx>
        <w:trPr>
          <w:cantSplit/>
          <w:trHeight w:val="397" w:hRule="atLeast"/>
          <w:jc w:val="center"/>
        </w:trPr>
        <w:tc>
          <w:tcPr>
            <w:tcW w:w="9342" w:type="dxa"/>
            <w:gridSpan w:val="7"/>
          </w:tcPr>
          <w:p w14:paraId="67502A29">
            <w:pPr>
              <w:keepNext/>
              <w:numPr>
                <w:ilvl w:val="0"/>
                <w:numId w:val="4"/>
              </w:numPr>
              <w:spacing w:line="400" w:lineRule="exact"/>
              <w:ind w:left="1106" w:hanging="1106"/>
              <w:outlineLvl w:val="0"/>
              <w:rPr>
                <w:rFonts w:ascii="微软雅黑" w:hAnsi="微软雅黑" w:eastAsia="微软雅黑" w:cs="微软雅黑"/>
                <w:b/>
                <w:szCs w:val="21"/>
              </w:rPr>
            </w:pPr>
            <w:bookmarkStart w:id="1" w:name="_Toc91002"/>
            <w:r>
              <w:rPr>
                <w:rFonts w:hint="eastAsia" w:ascii="微软雅黑" w:hAnsi="微软雅黑" w:eastAsia="微软雅黑" w:cs="微软雅黑"/>
                <w:b/>
                <w:szCs w:val="21"/>
              </w:rPr>
              <w:t>范围</w:t>
            </w:r>
            <w:bookmarkEnd w:id="1"/>
          </w:p>
        </w:tc>
      </w:tr>
      <w:tr w14:paraId="6A7A322D">
        <w:tblPrEx>
          <w:tblCellMar>
            <w:top w:w="0" w:type="dxa"/>
            <w:left w:w="108" w:type="dxa"/>
            <w:bottom w:w="0" w:type="dxa"/>
            <w:right w:w="108" w:type="dxa"/>
          </w:tblCellMar>
        </w:tblPrEx>
        <w:trPr>
          <w:trHeight w:val="90" w:hRule="atLeast"/>
          <w:jc w:val="center"/>
        </w:trPr>
        <w:tc>
          <w:tcPr>
            <w:tcW w:w="1131" w:type="dxa"/>
          </w:tcPr>
          <w:p w14:paraId="2EA81DAC">
            <w:pPr>
              <w:spacing w:line="400" w:lineRule="exact"/>
              <w:rPr>
                <w:rFonts w:ascii="微软雅黑" w:hAnsi="微软雅黑" w:eastAsia="微软雅黑" w:cs="微软雅黑"/>
                <w:szCs w:val="21"/>
              </w:rPr>
            </w:pPr>
          </w:p>
        </w:tc>
        <w:tc>
          <w:tcPr>
            <w:tcW w:w="8211" w:type="dxa"/>
            <w:gridSpan w:val="6"/>
          </w:tcPr>
          <w:p w14:paraId="4A148F6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本URS适用于拟采购的纯化设备系统，包括碟式离心机、均质机、陶瓷膜微滤系统、层析系统、陶瓷膜纳滤系统、智能结晶平台、箱式冻干机（两套，总计2.0㎡）等。各设备/系统的主要技术参数、配置清单、软件功能、公用工程、安装调试、培训、文件、验收及售后服务要求均适用本文件。</w:t>
            </w:r>
          </w:p>
          <w:p w14:paraId="2A9EC643">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设备清单及数量如下：</w:t>
            </w:r>
          </w:p>
        </w:tc>
      </w:tr>
      <w:tr w14:paraId="30822C51">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19128270">
            <w:pPr>
              <w:jc w:val="center"/>
              <w:rPr>
                <w:rFonts w:ascii="微软雅黑" w:hAnsi="微软雅黑" w:eastAsia="微软雅黑" w:cs="微软雅黑"/>
                <w:b/>
                <w:bCs/>
                <w:szCs w:val="21"/>
              </w:rPr>
            </w:pPr>
            <w:r>
              <w:rPr>
                <w:rFonts w:hint="eastAsia" w:ascii="微软雅黑" w:hAnsi="微软雅黑" w:eastAsia="微软雅黑" w:cs="微软雅黑"/>
                <w:b/>
                <w:bCs/>
              </w:rPr>
              <w:t>序号</w:t>
            </w:r>
          </w:p>
        </w:tc>
        <w:tc>
          <w:tcPr>
            <w:tcW w:w="7070" w:type="dxa"/>
            <w:gridSpan w:val="3"/>
            <w:tcBorders>
              <w:top w:val="single" w:color="auto" w:sz="4" w:space="0"/>
              <w:left w:val="single" w:color="auto" w:sz="4" w:space="0"/>
              <w:bottom w:val="single" w:color="auto" w:sz="4" w:space="0"/>
              <w:right w:val="single" w:color="auto" w:sz="4" w:space="0"/>
            </w:tcBorders>
          </w:tcPr>
          <w:p w14:paraId="4F720079">
            <w:pPr>
              <w:spacing w:line="400" w:lineRule="exact"/>
              <w:jc w:val="center"/>
              <w:rPr>
                <w:rFonts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981" w:type="dxa"/>
            <w:gridSpan w:val="2"/>
            <w:tcBorders>
              <w:top w:val="single" w:color="auto" w:sz="4" w:space="0"/>
              <w:left w:val="single" w:color="auto" w:sz="4" w:space="0"/>
              <w:bottom w:val="single" w:color="auto" w:sz="4" w:space="0"/>
              <w:right w:val="single" w:color="auto" w:sz="4" w:space="0"/>
            </w:tcBorders>
          </w:tcPr>
          <w:p w14:paraId="650D8D19">
            <w:pPr>
              <w:spacing w:line="400" w:lineRule="exact"/>
              <w:jc w:val="center"/>
              <w:rPr>
                <w:rFonts w:ascii="微软雅黑" w:hAnsi="微软雅黑" w:eastAsia="微软雅黑" w:cs="微软雅黑"/>
                <w:b/>
                <w:bCs/>
                <w:szCs w:val="21"/>
              </w:rPr>
            </w:pPr>
            <w:r>
              <w:rPr>
                <w:rFonts w:hint="eastAsia" w:ascii="微软雅黑" w:hAnsi="微软雅黑" w:eastAsia="微软雅黑" w:cs="微软雅黑"/>
                <w:b/>
                <w:bCs/>
                <w:szCs w:val="21"/>
              </w:rPr>
              <w:t>数量</w:t>
            </w:r>
          </w:p>
        </w:tc>
      </w:tr>
      <w:tr w14:paraId="2A7C72A5">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70DFB9C8">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1</w:t>
            </w:r>
          </w:p>
        </w:tc>
        <w:tc>
          <w:tcPr>
            <w:tcW w:w="7070" w:type="dxa"/>
            <w:gridSpan w:val="3"/>
            <w:tcBorders>
              <w:top w:val="single" w:color="auto" w:sz="4" w:space="0"/>
              <w:left w:val="single" w:color="auto" w:sz="4" w:space="0"/>
              <w:bottom w:val="single" w:color="auto" w:sz="4" w:space="0"/>
              <w:right w:val="single" w:color="auto" w:sz="4" w:space="0"/>
            </w:tcBorders>
          </w:tcPr>
          <w:p w14:paraId="1B99972B">
            <w:pPr>
              <w:spacing w:line="400" w:lineRule="exact"/>
              <w:rPr>
                <w:rFonts w:ascii="微软雅黑" w:hAnsi="微软雅黑" w:eastAsia="微软雅黑" w:cs="微软雅黑"/>
                <w:szCs w:val="21"/>
              </w:rPr>
            </w:pPr>
            <w:r>
              <w:rPr>
                <w:rFonts w:hint="eastAsia" w:ascii="微软雅黑" w:hAnsi="微软雅黑" w:eastAsia="微软雅黑" w:cs="微软雅黑"/>
                <w:kern w:val="0"/>
                <w:szCs w:val="21"/>
              </w:rPr>
              <w:t>碟式离心机</w:t>
            </w:r>
          </w:p>
        </w:tc>
        <w:tc>
          <w:tcPr>
            <w:tcW w:w="981" w:type="dxa"/>
            <w:gridSpan w:val="2"/>
            <w:tcBorders>
              <w:top w:val="single" w:color="auto" w:sz="4" w:space="0"/>
              <w:left w:val="single" w:color="auto" w:sz="4" w:space="0"/>
              <w:bottom w:val="single" w:color="auto" w:sz="4" w:space="0"/>
              <w:right w:val="single" w:color="auto" w:sz="4" w:space="0"/>
            </w:tcBorders>
          </w:tcPr>
          <w:p w14:paraId="3807F403">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192FF7A1">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6A336F22">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2</w:t>
            </w:r>
          </w:p>
        </w:tc>
        <w:tc>
          <w:tcPr>
            <w:tcW w:w="7070" w:type="dxa"/>
            <w:gridSpan w:val="3"/>
            <w:tcBorders>
              <w:top w:val="single" w:color="auto" w:sz="4" w:space="0"/>
              <w:left w:val="single" w:color="auto" w:sz="4" w:space="0"/>
              <w:bottom w:val="single" w:color="auto" w:sz="4" w:space="0"/>
              <w:right w:val="single" w:color="auto" w:sz="4" w:space="0"/>
            </w:tcBorders>
          </w:tcPr>
          <w:p w14:paraId="1D61D83C">
            <w:pPr>
              <w:spacing w:line="400" w:lineRule="exact"/>
              <w:rPr>
                <w:rFonts w:ascii="微软雅黑" w:hAnsi="微软雅黑" w:eastAsia="微软雅黑" w:cs="微软雅黑"/>
                <w:szCs w:val="21"/>
              </w:rPr>
            </w:pPr>
            <w:r>
              <w:rPr>
                <w:rFonts w:hint="eastAsia" w:ascii="微软雅黑" w:hAnsi="微软雅黑" w:eastAsia="微软雅黑" w:cs="微软雅黑"/>
                <w:kern w:val="0"/>
                <w:szCs w:val="21"/>
              </w:rPr>
              <w:t>均质机</w:t>
            </w:r>
          </w:p>
        </w:tc>
        <w:tc>
          <w:tcPr>
            <w:tcW w:w="981" w:type="dxa"/>
            <w:gridSpan w:val="2"/>
            <w:tcBorders>
              <w:top w:val="single" w:color="auto" w:sz="4" w:space="0"/>
              <w:left w:val="single" w:color="auto" w:sz="4" w:space="0"/>
              <w:bottom w:val="single" w:color="auto" w:sz="4" w:space="0"/>
              <w:right w:val="single" w:color="auto" w:sz="4" w:space="0"/>
            </w:tcBorders>
          </w:tcPr>
          <w:p w14:paraId="293DDF8F">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087EF410">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01F8BD7E">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3</w:t>
            </w:r>
          </w:p>
        </w:tc>
        <w:tc>
          <w:tcPr>
            <w:tcW w:w="7070" w:type="dxa"/>
            <w:gridSpan w:val="3"/>
            <w:tcBorders>
              <w:top w:val="single" w:color="auto" w:sz="4" w:space="0"/>
              <w:left w:val="single" w:color="auto" w:sz="4" w:space="0"/>
              <w:bottom w:val="single" w:color="auto" w:sz="4" w:space="0"/>
              <w:right w:val="single" w:color="auto" w:sz="4" w:space="0"/>
            </w:tcBorders>
          </w:tcPr>
          <w:p w14:paraId="2E94F482">
            <w:pPr>
              <w:spacing w:line="400" w:lineRule="exact"/>
              <w:rPr>
                <w:rFonts w:ascii="微软雅黑" w:hAnsi="微软雅黑" w:eastAsia="微软雅黑" w:cs="微软雅黑"/>
                <w:szCs w:val="21"/>
              </w:rPr>
            </w:pPr>
            <w:r>
              <w:rPr>
                <w:rFonts w:hint="eastAsia" w:ascii="微软雅黑" w:hAnsi="微软雅黑" w:eastAsia="微软雅黑" w:cs="微软雅黑"/>
                <w:kern w:val="0"/>
                <w:szCs w:val="21"/>
              </w:rPr>
              <w:t>陶瓷膜微滤</w:t>
            </w:r>
          </w:p>
        </w:tc>
        <w:tc>
          <w:tcPr>
            <w:tcW w:w="981" w:type="dxa"/>
            <w:gridSpan w:val="2"/>
            <w:tcBorders>
              <w:top w:val="single" w:color="auto" w:sz="4" w:space="0"/>
              <w:left w:val="single" w:color="auto" w:sz="4" w:space="0"/>
              <w:bottom w:val="single" w:color="auto" w:sz="4" w:space="0"/>
              <w:right w:val="single" w:color="auto" w:sz="4" w:space="0"/>
            </w:tcBorders>
          </w:tcPr>
          <w:p w14:paraId="0F98E16A">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2712BB17">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587EE575">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4</w:t>
            </w:r>
          </w:p>
        </w:tc>
        <w:tc>
          <w:tcPr>
            <w:tcW w:w="7070" w:type="dxa"/>
            <w:gridSpan w:val="3"/>
            <w:tcBorders>
              <w:top w:val="single" w:color="auto" w:sz="4" w:space="0"/>
              <w:left w:val="single" w:color="auto" w:sz="4" w:space="0"/>
              <w:bottom w:val="single" w:color="auto" w:sz="4" w:space="0"/>
              <w:right w:val="single" w:color="auto" w:sz="4" w:space="0"/>
            </w:tcBorders>
          </w:tcPr>
          <w:p w14:paraId="4C27593C">
            <w:pPr>
              <w:spacing w:line="400" w:lineRule="exact"/>
              <w:rPr>
                <w:rFonts w:ascii="微软雅黑" w:hAnsi="微软雅黑" w:eastAsia="微软雅黑" w:cs="微软雅黑"/>
                <w:szCs w:val="21"/>
              </w:rPr>
            </w:pPr>
            <w:r>
              <w:rPr>
                <w:rFonts w:hint="eastAsia" w:ascii="微软雅黑" w:hAnsi="微软雅黑" w:eastAsia="微软雅黑" w:cs="微软雅黑"/>
                <w:kern w:val="0"/>
                <w:szCs w:val="21"/>
              </w:rPr>
              <w:t>层析系统</w:t>
            </w:r>
          </w:p>
        </w:tc>
        <w:tc>
          <w:tcPr>
            <w:tcW w:w="981" w:type="dxa"/>
            <w:gridSpan w:val="2"/>
            <w:tcBorders>
              <w:top w:val="single" w:color="auto" w:sz="4" w:space="0"/>
              <w:left w:val="single" w:color="auto" w:sz="4" w:space="0"/>
              <w:bottom w:val="single" w:color="auto" w:sz="4" w:space="0"/>
              <w:right w:val="single" w:color="auto" w:sz="4" w:space="0"/>
            </w:tcBorders>
          </w:tcPr>
          <w:p w14:paraId="40785E9B">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5D535EDE">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36AC7E11">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5</w:t>
            </w:r>
          </w:p>
        </w:tc>
        <w:tc>
          <w:tcPr>
            <w:tcW w:w="7070" w:type="dxa"/>
            <w:gridSpan w:val="3"/>
            <w:tcBorders>
              <w:top w:val="single" w:color="auto" w:sz="4" w:space="0"/>
              <w:left w:val="single" w:color="auto" w:sz="4" w:space="0"/>
              <w:bottom w:val="single" w:color="auto" w:sz="4" w:space="0"/>
              <w:right w:val="single" w:color="auto" w:sz="4" w:space="0"/>
            </w:tcBorders>
          </w:tcPr>
          <w:p w14:paraId="5DB60B24">
            <w:pPr>
              <w:spacing w:line="400" w:lineRule="exact"/>
              <w:rPr>
                <w:rFonts w:hint="eastAsia" w:ascii="微软雅黑" w:hAnsi="微软雅黑" w:eastAsia="微软雅黑" w:cs="微软雅黑"/>
                <w:szCs w:val="21"/>
                <w:lang w:val="en-US" w:eastAsia="zh-CN"/>
              </w:rPr>
            </w:pPr>
            <w:r>
              <w:rPr>
                <w:rFonts w:hint="eastAsia" w:ascii="微软雅黑" w:hAnsi="微软雅黑" w:eastAsia="微软雅黑" w:cs="微软雅黑"/>
                <w:kern w:val="0"/>
                <w:szCs w:val="21"/>
              </w:rPr>
              <w:t>陶瓷膜</w:t>
            </w:r>
            <w:r>
              <w:rPr>
                <w:rFonts w:hint="eastAsia" w:ascii="微软雅黑" w:hAnsi="微软雅黑" w:eastAsia="微软雅黑" w:cs="微软雅黑"/>
                <w:kern w:val="0"/>
                <w:szCs w:val="21"/>
                <w:lang w:val="en-US" w:eastAsia="zh-CN"/>
              </w:rPr>
              <w:t>微滤</w:t>
            </w:r>
          </w:p>
        </w:tc>
        <w:tc>
          <w:tcPr>
            <w:tcW w:w="981" w:type="dxa"/>
            <w:gridSpan w:val="2"/>
            <w:tcBorders>
              <w:top w:val="single" w:color="auto" w:sz="4" w:space="0"/>
              <w:left w:val="single" w:color="auto" w:sz="4" w:space="0"/>
              <w:bottom w:val="single" w:color="auto" w:sz="4" w:space="0"/>
              <w:right w:val="single" w:color="auto" w:sz="4" w:space="0"/>
            </w:tcBorders>
          </w:tcPr>
          <w:p w14:paraId="4FE43481">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207E1DB2">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527EE6E9">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6</w:t>
            </w:r>
          </w:p>
        </w:tc>
        <w:tc>
          <w:tcPr>
            <w:tcW w:w="7070" w:type="dxa"/>
            <w:gridSpan w:val="3"/>
            <w:tcBorders>
              <w:top w:val="single" w:color="auto" w:sz="4" w:space="0"/>
              <w:left w:val="single" w:color="auto" w:sz="4" w:space="0"/>
              <w:bottom w:val="single" w:color="auto" w:sz="4" w:space="0"/>
              <w:right w:val="single" w:color="auto" w:sz="4" w:space="0"/>
            </w:tcBorders>
          </w:tcPr>
          <w:p w14:paraId="06747CFE">
            <w:pPr>
              <w:spacing w:line="400" w:lineRule="exact"/>
              <w:rPr>
                <w:rFonts w:hint="eastAsia" w:ascii="微软雅黑" w:hAnsi="微软雅黑" w:eastAsia="微软雅黑" w:cs="微软雅黑"/>
                <w:szCs w:val="21"/>
                <w:lang w:val="en-US" w:eastAsia="zh-CN"/>
              </w:rPr>
            </w:pPr>
            <w:r>
              <w:rPr>
                <w:rFonts w:hint="eastAsia" w:ascii="微软雅黑" w:hAnsi="微软雅黑" w:eastAsia="微软雅黑" w:cs="微软雅黑"/>
                <w:kern w:val="0"/>
                <w:szCs w:val="21"/>
              </w:rPr>
              <w:t>结晶</w:t>
            </w:r>
            <w:r>
              <w:rPr>
                <w:rFonts w:hint="eastAsia" w:ascii="微软雅黑" w:hAnsi="微软雅黑" w:eastAsia="微软雅黑" w:cs="微软雅黑"/>
                <w:kern w:val="0"/>
                <w:szCs w:val="21"/>
                <w:lang w:val="en-US" w:eastAsia="zh-CN"/>
              </w:rPr>
              <w:t>罐</w:t>
            </w:r>
          </w:p>
        </w:tc>
        <w:tc>
          <w:tcPr>
            <w:tcW w:w="981" w:type="dxa"/>
            <w:gridSpan w:val="2"/>
            <w:tcBorders>
              <w:top w:val="single" w:color="auto" w:sz="4" w:space="0"/>
              <w:left w:val="single" w:color="auto" w:sz="4" w:space="0"/>
              <w:bottom w:val="single" w:color="auto" w:sz="4" w:space="0"/>
              <w:right w:val="single" w:color="auto" w:sz="4" w:space="0"/>
            </w:tcBorders>
          </w:tcPr>
          <w:p w14:paraId="178C4962">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7FB92408">
        <w:tblPrEx>
          <w:tblCellMar>
            <w:top w:w="0" w:type="dxa"/>
            <w:left w:w="108" w:type="dxa"/>
            <w:bottom w:w="0" w:type="dxa"/>
            <w:right w:w="108" w:type="dxa"/>
          </w:tblCellMar>
        </w:tblPrEx>
        <w:trPr>
          <w:trHeight w:val="397" w:hRule="atLeast"/>
          <w:jc w:val="center"/>
        </w:trPr>
        <w:tc>
          <w:tcPr>
            <w:tcW w:w="1291" w:type="dxa"/>
            <w:gridSpan w:val="2"/>
            <w:tcBorders>
              <w:top w:val="single" w:color="auto" w:sz="4" w:space="0"/>
              <w:left w:val="single" w:color="auto" w:sz="4" w:space="0"/>
              <w:bottom w:val="single" w:color="auto" w:sz="4" w:space="0"/>
              <w:right w:val="single" w:color="auto" w:sz="4" w:space="0"/>
            </w:tcBorders>
          </w:tcPr>
          <w:p w14:paraId="1A3DF09A">
            <w:pPr>
              <w:spacing w:line="400" w:lineRule="exact"/>
              <w:ind w:right="1"/>
              <w:jc w:val="center"/>
              <w:rPr>
                <w:rFonts w:ascii="微软雅黑" w:hAnsi="微软雅黑" w:eastAsia="微软雅黑" w:cs="微软雅黑"/>
                <w:szCs w:val="21"/>
              </w:rPr>
            </w:pPr>
            <w:r>
              <w:rPr>
                <w:rFonts w:hint="eastAsia" w:ascii="微软雅黑" w:hAnsi="微软雅黑" w:eastAsia="微软雅黑" w:cs="微软雅黑"/>
                <w:szCs w:val="21"/>
              </w:rPr>
              <w:t>7</w:t>
            </w:r>
          </w:p>
        </w:tc>
        <w:tc>
          <w:tcPr>
            <w:tcW w:w="7070" w:type="dxa"/>
            <w:gridSpan w:val="3"/>
            <w:tcBorders>
              <w:top w:val="single" w:color="auto" w:sz="4" w:space="0"/>
              <w:left w:val="single" w:color="auto" w:sz="4" w:space="0"/>
              <w:bottom w:val="single" w:color="auto" w:sz="4" w:space="0"/>
              <w:right w:val="single" w:color="auto" w:sz="4" w:space="0"/>
            </w:tcBorders>
          </w:tcPr>
          <w:p w14:paraId="75E4AE2F">
            <w:pPr>
              <w:spacing w:line="400" w:lineRule="exact"/>
              <w:rPr>
                <w:rFonts w:ascii="微软雅黑" w:hAnsi="微软雅黑" w:eastAsia="微软雅黑" w:cs="微软雅黑"/>
                <w:szCs w:val="21"/>
              </w:rPr>
            </w:pPr>
            <w:r>
              <w:rPr>
                <w:rFonts w:hint="eastAsia" w:ascii="微软雅黑" w:hAnsi="微软雅黑" w:eastAsia="微软雅黑" w:cs="微软雅黑"/>
                <w:kern w:val="0"/>
                <w:szCs w:val="21"/>
              </w:rPr>
              <w:t>冻干机</w:t>
            </w:r>
          </w:p>
        </w:tc>
        <w:tc>
          <w:tcPr>
            <w:tcW w:w="981" w:type="dxa"/>
            <w:gridSpan w:val="2"/>
            <w:tcBorders>
              <w:top w:val="single" w:color="auto" w:sz="4" w:space="0"/>
              <w:left w:val="single" w:color="auto" w:sz="4" w:space="0"/>
              <w:bottom w:val="single" w:color="auto" w:sz="4" w:space="0"/>
              <w:right w:val="single" w:color="auto" w:sz="4" w:space="0"/>
            </w:tcBorders>
          </w:tcPr>
          <w:p w14:paraId="73B57D82">
            <w:pPr>
              <w:spacing w:line="400" w:lineRule="exact"/>
              <w:jc w:val="center"/>
              <w:rPr>
                <w:rFonts w:ascii="微软雅黑" w:hAnsi="微软雅黑" w:eastAsia="微软雅黑" w:cs="微软雅黑"/>
                <w:kern w:val="0"/>
                <w:szCs w:val="21"/>
              </w:rPr>
            </w:pPr>
            <w:r>
              <w:rPr>
                <w:rFonts w:hint="eastAsia" w:ascii="微软雅黑" w:hAnsi="微软雅黑" w:eastAsia="微软雅黑" w:cs="微软雅黑"/>
                <w:kern w:val="0"/>
                <w:szCs w:val="21"/>
              </w:rPr>
              <w:t>1套</w:t>
            </w:r>
          </w:p>
        </w:tc>
      </w:tr>
      <w:tr w14:paraId="44A27FA9">
        <w:tblPrEx>
          <w:tblCellMar>
            <w:top w:w="0" w:type="dxa"/>
            <w:left w:w="108" w:type="dxa"/>
            <w:bottom w:w="0" w:type="dxa"/>
            <w:right w:w="108" w:type="dxa"/>
          </w:tblCellMar>
        </w:tblPrEx>
        <w:trPr>
          <w:trHeight w:val="90" w:hRule="atLeast"/>
          <w:jc w:val="center"/>
        </w:trPr>
        <w:tc>
          <w:tcPr>
            <w:tcW w:w="1131" w:type="dxa"/>
          </w:tcPr>
          <w:p w14:paraId="6D231860">
            <w:pPr>
              <w:spacing w:line="400" w:lineRule="exact"/>
              <w:rPr>
                <w:rFonts w:ascii="微软雅黑" w:hAnsi="微软雅黑" w:eastAsia="微软雅黑" w:cs="微软雅黑"/>
                <w:szCs w:val="21"/>
              </w:rPr>
            </w:pPr>
          </w:p>
        </w:tc>
        <w:tc>
          <w:tcPr>
            <w:tcW w:w="8211" w:type="dxa"/>
            <w:gridSpan w:val="6"/>
          </w:tcPr>
          <w:p w14:paraId="5B51CB6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供应商应以本URS为控制标准，进行设备选型、功能设计并最终完成详细设计，为设备采购选型和设备验证提供充分依据。</w:t>
            </w:r>
          </w:p>
        </w:tc>
      </w:tr>
      <w:tr w14:paraId="03CB7B93">
        <w:tblPrEx>
          <w:tblCellMar>
            <w:top w:w="0" w:type="dxa"/>
            <w:left w:w="108" w:type="dxa"/>
            <w:bottom w:w="0" w:type="dxa"/>
            <w:right w:w="108" w:type="dxa"/>
          </w:tblCellMar>
        </w:tblPrEx>
        <w:trPr>
          <w:cantSplit/>
          <w:trHeight w:val="397" w:hRule="atLeast"/>
          <w:jc w:val="center"/>
        </w:trPr>
        <w:tc>
          <w:tcPr>
            <w:tcW w:w="9342" w:type="dxa"/>
            <w:gridSpan w:val="7"/>
          </w:tcPr>
          <w:p w14:paraId="261E0E47">
            <w:pPr>
              <w:keepNext/>
              <w:numPr>
                <w:ilvl w:val="0"/>
                <w:numId w:val="4"/>
              </w:numPr>
              <w:spacing w:line="400" w:lineRule="exact"/>
              <w:ind w:left="1106" w:hanging="1106"/>
              <w:outlineLvl w:val="0"/>
              <w:rPr>
                <w:rFonts w:ascii="微软雅黑" w:hAnsi="微软雅黑" w:eastAsia="微软雅黑" w:cs="微软雅黑"/>
                <w:b/>
                <w:szCs w:val="21"/>
              </w:rPr>
            </w:pPr>
            <w:bookmarkStart w:id="2" w:name="_Toc91003"/>
            <w:r>
              <w:rPr>
                <w:rFonts w:hint="eastAsia" w:ascii="微软雅黑" w:hAnsi="微软雅黑" w:eastAsia="微软雅黑" w:cs="微软雅黑"/>
                <w:b/>
                <w:szCs w:val="21"/>
              </w:rPr>
              <w:t>职责</w:t>
            </w:r>
            <w:bookmarkEnd w:id="2"/>
          </w:p>
        </w:tc>
      </w:tr>
      <w:tr w14:paraId="05D8D46C">
        <w:tblPrEx>
          <w:tblCellMar>
            <w:top w:w="0" w:type="dxa"/>
            <w:left w:w="108" w:type="dxa"/>
            <w:bottom w:w="0" w:type="dxa"/>
            <w:right w:w="108" w:type="dxa"/>
          </w:tblCellMar>
        </w:tblPrEx>
        <w:trPr>
          <w:trHeight w:val="90" w:hRule="atLeast"/>
          <w:jc w:val="center"/>
        </w:trPr>
        <w:tc>
          <w:tcPr>
            <w:tcW w:w="1131" w:type="dxa"/>
          </w:tcPr>
          <w:p w14:paraId="12927776">
            <w:pPr>
              <w:spacing w:line="400" w:lineRule="exact"/>
              <w:rPr>
                <w:rFonts w:ascii="微软雅黑" w:hAnsi="微软雅黑" w:eastAsia="微软雅黑" w:cs="微软雅黑"/>
                <w:szCs w:val="21"/>
              </w:rPr>
            </w:pPr>
          </w:p>
        </w:tc>
        <w:tc>
          <w:tcPr>
            <w:tcW w:w="8211" w:type="dxa"/>
            <w:gridSpan w:val="6"/>
          </w:tcPr>
          <w:p w14:paraId="6B562ACC">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用户：</w:t>
            </w:r>
          </w:p>
          <w:p w14:paraId="711832FB">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1）提供研究需求、样品类型、工艺开发方向及使用场景；</w:t>
            </w:r>
          </w:p>
          <w:p w14:paraId="26185893">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2）根据实验需求确认最终技术标准；</w:t>
            </w:r>
          </w:p>
          <w:p w14:paraId="390D1F14">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3）负责设备使用、维护及日常管理。</w:t>
            </w:r>
          </w:p>
          <w:p w14:paraId="4D7B468F">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供应商：</w:t>
            </w:r>
          </w:p>
          <w:p w14:paraId="0179AA40">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1）根据本URS提供技术方案及系统规格；</w:t>
            </w:r>
          </w:p>
          <w:p w14:paraId="26CC9040">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2）提供设备安装、调试、培训及基本工艺方法搭建；</w:t>
            </w:r>
          </w:p>
          <w:p w14:paraId="6BA3A150">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3）提供必要的售后技术支持、维护、备件与耗材。</w:t>
            </w:r>
          </w:p>
        </w:tc>
      </w:tr>
      <w:tr w14:paraId="3CBA990D">
        <w:tblPrEx>
          <w:tblCellMar>
            <w:top w:w="0" w:type="dxa"/>
            <w:left w:w="108" w:type="dxa"/>
            <w:bottom w:w="0" w:type="dxa"/>
            <w:right w:w="108" w:type="dxa"/>
          </w:tblCellMar>
        </w:tblPrEx>
        <w:trPr>
          <w:cantSplit/>
          <w:trHeight w:val="397" w:hRule="atLeast"/>
          <w:jc w:val="center"/>
        </w:trPr>
        <w:tc>
          <w:tcPr>
            <w:tcW w:w="9342" w:type="dxa"/>
            <w:gridSpan w:val="7"/>
          </w:tcPr>
          <w:p w14:paraId="20CC7BDB">
            <w:pPr>
              <w:keepNext/>
              <w:numPr>
                <w:ilvl w:val="0"/>
                <w:numId w:val="4"/>
              </w:numPr>
              <w:spacing w:line="400" w:lineRule="exact"/>
              <w:ind w:left="1106" w:hanging="1106"/>
              <w:outlineLvl w:val="0"/>
              <w:rPr>
                <w:rFonts w:ascii="微软雅黑" w:hAnsi="微软雅黑" w:eastAsia="微软雅黑" w:cs="微软雅黑"/>
                <w:b/>
                <w:szCs w:val="21"/>
              </w:rPr>
            </w:pPr>
            <w:bookmarkStart w:id="3" w:name="_Toc91004"/>
            <w:r>
              <w:rPr>
                <w:rFonts w:hint="eastAsia" w:ascii="微软雅黑" w:hAnsi="微软雅黑" w:eastAsia="微软雅黑" w:cs="微软雅黑"/>
                <w:b/>
                <w:szCs w:val="21"/>
              </w:rPr>
              <w:t>参考文件</w:t>
            </w:r>
            <w:bookmarkEnd w:id="3"/>
          </w:p>
        </w:tc>
      </w:tr>
      <w:tr w14:paraId="7B2C76BC">
        <w:tblPrEx>
          <w:tblCellMar>
            <w:top w:w="0" w:type="dxa"/>
            <w:left w:w="108" w:type="dxa"/>
            <w:bottom w:w="0" w:type="dxa"/>
            <w:right w:w="108" w:type="dxa"/>
          </w:tblCellMar>
        </w:tblPrEx>
        <w:trPr>
          <w:trHeight w:val="90" w:hRule="atLeast"/>
          <w:jc w:val="center"/>
        </w:trPr>
        <w:tc>
          <w:tcPr>
            <w:tcW w:w="1131" w:type="dxa"/>
          </w:tcPr>
          <w:p w14:paraId="5C65FE5C">
            <w:pPr>
              <w:spacing w:line="400" w:lineRule="exact"/>
              <w:rPr>
                <w:rFonts w:ascii="微软雅黑" w:hAnsi="微软雅黑" w:eastAsia="微软雅黑" w:cs="微软雅黑"/>
                <w:szCs w:val="21"/>
              </w:rPr>
            </w:pPr>
          </w:p>
        </w:tc>
        <w:tc>
          <w:tcPr>
            <w:tcW w:w="8211" w:type="dxa"/>
            <w:gridSpan w:val="6"/>
          </w:tcPr>
          <w:p w14:paraId="78F02871">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本URS编制参考仪器设备公开技术资料、供应商产品手册、纯化工艺设备设计与运行要求、科研平台设备采购及验收管理要求，以及用户提出的具体技术指标和配置需求。</w:t>
            </w:r>
          </w:p>
        </w:tc>
      </w:tr>
      <w:tr w14:paraId="7F48FD6B">
        <w:tblPrEx>
          <w:tblCellMar>
            <w:top w:w="0" w:type="dxa"/>
            <w:left w:w="108" w:type="dxa"/>
            <w:bottom w:w="0" w:type="dxa"/>
            <w:right w:w="108" w:type="dxa"/>
          </w:tblCellMar>
        </w:tblPrEx>
        <w:trPr>
          <w:cantSplit/>
          <w:trHeight w:val="397" w:hRule="atLeast"/>
          <w:jc w:val="center"/>
        </w:trPr>
        <w:tc>
          <w:tcPr>
            <w:tcW w:w="9342" w:type="dxa"/>
            <w:gridSpan w:val="7"/>
          </w:tcPr>
          <w:p w14:paraId="1DADB8C7">
            <w:pPr>
              <w:keepNext/>
              <w:numPr>
                <w:ilvl w:val="0"/>
                <w:numId w:val="4"/>
              </w:numPr>
              <w:spacing w:line="400" w:lineRule="exact"/>
              <w:ind w:left="1106" w:hanging="1106"/>
              <w:outlineLvl w:val="0"/>
              <w:rPr>
                <w:rFonts w:ascii="微软雅黑" w:hAnsi="微软雅黑" w:eastAsia="微软雅黑" w:cs="微软雅黑"/>
                <w:b/>
                <w:szCs w:val="21"/>
              </w:rPr>
            </w:pPr>
            <w:bookmarkStart w:id="4" w:name="_Toc91005"/>
            <w:r>
              <w:rPr>
                <w:rFonts w:hint="eastAsia" w:ascii="微软雅黑" w:hAnsi="微软雅黑" w:eastAsia="微软雅黑" w:cs="微软雅黑"/>
                <w:b/>
                <w:szCs w:val="21"/>
              </w:rPr>
              <w:t>缩写与定义</w:t>
            </w:r>
            <w:bookmarkEnd w:id="4"/>
          </w:p>
        </w:tc>
      </w:tr>
      <w:tr w14:paraId="04D013B7">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602F10EB">
            <w:pPr>
              <w:pStyle w:val="58"/>
              <w:snapToGrid w:val="0"/>
              <w:spacing w:line="400" w:lineRule="exact"/>
              <w:jc w:val="center"/>
              <w:rPr>
                <w:rStyle w:val="39"/>
                <w:rFonts w:ascii="微软雅黑" w:hAnsi="微软雅黑" w:eastAsia="微软雅黑" w:cs="微软雅黑"/>
                <w:color w:val="auto"/>
              </w:rPr>
            </w:pPr>
            <w:r>
              <w:rPr>
                <w:rFonts w:hint="eastAsia" w:ascii="微软雅黑" w:hAnsi="微软雅黑" w:eastAsia="微软雅黑" w:cs="微软雅黑"/>
                <w:b/>
                <w:color w:val="auto"/>
                <w:sz w:val="21"/>
                <w:szCs w:val="21"/>
                <w:lang w:val="zh-CN"/>
              </w:rPr>
              <w:t>序号</w:t>
            </w:r>
          </w:p>
        </w:tc>
        <w:tc>
          <w:tcPr>
            <w:tcW w:w="2478" w:type="dxa"/>
            <w:gridSpan w:val="2"/>
            <w:tcBorders>
              <w:top w:val="nil"/>
              <w:left w:val="nil"/>
              <w:bottom w:val="nil"/>
              <w:right w:val="nil"/>
            </w:tcBorders>
            <w:vAlign w:val="center"/>
          </w:tcPr>
          <w:p w14:paraId="093097D6">
            <w:pPr>
              <w:pStyle w:val="58"/>
              <w:snapToGrid w:val="0"/>
              <w:spacing w:line="400" w:lineRule="exact"/>
              <w:jc w:val="center"/>
              <w:rPr>
                <w:rFonts w:ascii="微软雅黑" w:hAnsi="微软雅黑" w:eastAsia="微软雅黑" w:cs="微软雅黑"/>
                <w:color w:val="auto"/>
                <w:sz w:val="21"/>
                <w:szCs w:val="21"/>
              </w:rPr>
            </w:pPr>
            <w:r>
              <w:rPr>
                <w:rFonts w:hint="eastAsia" w:ascii="微软雅黑" w:hAnsi="微软雅黑" w:eastAsia="微软雅黑" w:cs="微软雅黑"/>
                <w:b/>
                <w:color w:val="auto"/>
                <w:sz w:val="21"/>
                <w:szCs w:val="21"/>
                <w:lang w:val="zh-CN"/>
              </w:rPr>
              <w:t>缩写</w:t>
            </w:r>
          </w:p>
        </w:tc>
        <w:tc>
          <w:tcPr>
            <w:tcW w:w="5733" w:type="dxa"/>
            <w:gridSpan w:val="4"/>
            <w:tcBorders>
              <w:top w:val="nil"/>
              <w:left w:val="nil"/>
              <w:bottom w:val="nil"/>
              <w:right w:val="nil"/>
            </w:tcBorders>
            <w:vAlign w:val="center"/>
          </w:tcPr>
          <w:p w14:paraId="0037AB2A">
            <w:pPr>
              <w:pStyle w:val="58"/>
              <w:snapToGrid w:val="0"/>
              <w:spacing w:line="400" w:lineRule="exact"/>
              <w:jc w:val="center"/>
              <w:rPr>
                <w:rStyle w:val="40"/>
                <w:rFonts w:hint="default" w:ascii="微软雅黑" w:hAnsi="微软雅黑" w:eastAsia="微软雅黑" w:cs="微软雅黑"/>
                <w:color w:val="auto"/>
              </w:rPr>
            </w:pPr>
            <w:r>
              <w:rPr>
                <w:rFonts w:hint="eastAsia" w:ascii="微软雅黑" w:hAnsi="微软雅黑" w:eastAsia="微软雅黑" w:cs="微软雅黑"/>
                <w:b/>
                <w:color w:val="auto"/>
                <w:sz w:val="21"/>
                <w:szCs w:val="21"/>
                <w:lang w:val="zh-CN"/>
              </w:rPr>
              <w:t>全称及翻译</w:t>
            </w:r>
          </w:p>
        </w:tc>
      </w:tr>
      <w:tr w14:paraId="4ABCD8FE">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4FB29E42">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3F20785A">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TMP</w:t>
            </w:r>
          </w:p>
        </w:tc>
        <w:tc>
          <w:tcPr>
            <w:tcW w:w="5733" w:type="dxa"/>
            <w:gridSpan w:val="4"/>
            <w:tcBorders>
              <w:top w:val="nil"/>
              <w:left w:val="nil"/>
              <w:bottom w:val="nil"/>
              <w:right w:val="nil"/>
            </w:tcBorders>
            <w:vAlign w:val="center"/>
          </w:tcPr>
          <w:p w14:paraId="6A0647A0">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Transmembrane Pressure 跨膜压差</w:t>
            </w:r>
          </w:p>
        </w:tc>
      </w:tr>
      <w:tr w14:paraId="4059D6BB">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7532111B">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0521C5A5">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PLC</w:t>
            </w:r>
          </w:p>
        </w:tc>
        <w:tc>
          <w:tcPr>
            <w:tcW w:w="5733" w:type="dxa"/>
            <w:gridSpan w:val="4"/>
            <w:tcBorders>
              <w:top w:val="nil"/>
              <w:left w:val="nil"/>
              <w:bottom w:val="nil"/>
              <w:right w:val="nil"/>
            </w:tcBorders>
            <w:vAlign w:val="center"/>
          </w:tcPr>
          <w:p w14:paraId="19F3C2A9">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Programmable Logic Controller 可编程逻辑控制器</w:t>
            </w:r>
          </w:p>
        </w:tc>
      </w:tr>
      <w:tr w14:paraId="5BDAE28E">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648D12F6">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1B763D74">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HMI</w:t>
            </w:r>
          </w:p>
        </w:tc>
        <w:tc>
          <w:tcPr>
            <w:tcW w:w="5733" w:type="dxa"/>
            <w:gridSpan w:val="4"/>
            <w:tcBorders>
              <w:top w:val="nil"/>
              <w:left w:val="nil"/>
              <w:bottom w:val="nil"/>
              <w:right w:val="nil"/>
            </w:tcBorders>
            <w:vAlign w:val="center"/>
          </w:tcPr>
          <w:p w14:paraId="75313034">
            <w:pPr>
              <w:pStyle w:val="59"/>
              <w:spacing w:line="400" w:lineRule="exact"/>
              <w:rPr>
                <w:rFonts w:ascii="微软雅黑" w:hAnsi="微软雅黑" w:eastAsia="微软雅黑" w:cs="微软雅黑"/>
              </w:rPr>
            </w:pPr>
            <w:r>
              <w:rPr>
                <w:rFonts w:hint="eastAsia" w:ascii="微软雅黑" w:hAnsi="微软雅黑" w:eastAsia="微软雅黑" w:cs="微软雅黑"/>
              </w:rPr>
              <w:t>Human Machine Interface 人机交互界面</w:t>
            </w:r>
          </w:p>
        </w:tc>
      </w:tr>
      <w:tr w14:paraId="0964D9C3">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0B0116AC">
            <w:pPr>
              <w:numPr>
                <w:ilvl w:val="0"/>
                <w:numId w:val="5"/>
              </w:numPr>
              <w:snapToGrid w:val="0"/>
              <w:spacing w:line="400" w:lineRule="exact"/>
              <w:jc w:val="center"/>
              <w:rPr>
                <w:rFonts w:ascii="微软雅黑" w:hAnsi="微软雅黑" w:eastAsia="微软雅黑" w:cs="微软雅黑"/>
                <w:b/>
                <w:szCs w:val="21"/>
              </w:rPr>
            </w:pPr>
          </w:p>
        </w:tc>
        <w:tc>
          <w:tcPr>
            <w:tcW w:w="2478" w:type="dxa"/>
            <w:gridSpan w:val="2"/>
            <w:tcBorders>
              <w:top w:val="nil"/>
              <w:left w:val="nil"/>
              <w:bottom w:val="nil"/>
              <w:right w:val="nil"/>
            </w:tcBorders>
            <w:vAlign w:val="center"/>
          </w:tcPr>
          <w:p w14:paraId="140001AD">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UV</w:t>
            </w:r>
          </w:p>
        </w:tc>
        <w:tc>
          <w:tcPr>
            <w:tcW w:w="5733" w:type="dxa"/>
            <w:gridSpan w:val="4"/>
            <w:tcBorders>
              <w:top w:val="nil"/>
              <w:left w:val="nil"/>
              <w:bottom w:val="nil"/>
              <w:right w:val="nil"/>
            </w:tcBorders>
            <w:vAlign w:val="center"/>
          </w:tcPr>
          <w:p w14:paraId="07BE1C63">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Ultraviolet 紫外线</w:t>
            </w:r>
          </w:p>
        </w:tc>
      </w:tr>
      <w:tr w14:paraId="231B624D">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2AF5E3FF">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39BF5533">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pH</w:t>
            </w:r>
          </w:p>
        </w:tc>
        <w:tc>
          <w:tcPr>
            <w:tcW w:w="5733" w:type="dxa"/>
            <w:gridSpan w:val="4"/>
            <w:tcBorders>
              <w:top w:val="nil"/>
              <w:left w:val="nil"/>
              <w:bottom w:val="nil"/>
              <w:right w:val="nil"/>
            </w:tcBorders>
            <w:vAlign w:val="center"/>
          </w:tcPr>
          <w:p w14:paraId="02716258">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Potential of Hydrogen 酸碱度</w:t>
            </w:r>
          </w:p>
        </w:tc>
      </w:tr>
      <w:tr w14:paraId="60819A42">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63DE8639">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5ED177F3">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PID</w:t>
            </w:r>
          </w:p>
        </w:tc>
        <w:tc>
          <w:tcPr>
            <w:tcW w:w="5733" w:type="dxa"/>
            <w:gridSpan w:val="4"/>
            <w:tcBorders>
              <w:top w:val="nil"/>
              <w:left w:val="nil"/>
              <w:bottom w:val="nil"/>
              <w:right w:val="nil"/>
            </w:tcBorders>
            <w:vAlign w:val="center"/>
          </w:tcPr>
          <w:p w14:paraId="5EB302C5">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Proportional-Integral-Derivative 比例-积分-微分控制</w:t>
            </w:r>
          </w:p>
        </w:tc>
      </w:tr>
      <w:tr w14:paraId="6B102F22">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66DE4C30">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135DC9FB">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PTFE</w:t>
            </w:r>
          </w:p>
        </w:tc>
        <w:tc>
          <w:tcPr>
            <w:tcW w:w="5733" w:type="dxa"/>
            <w:gridSpan w:val="4"/>
            <w:tcBorders>
              <w:top w:val="nil"/>
              <w:left w:val="nil"/>
              <w:bottom w:val="nil"/>
              <w:right w:val="nil"/>
            </w:tcBorders>
            <w:vAlign w:val="center"/>
          </w:tcPr>
          <w:p w14:paraId="328CE48D">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Polytetrafluoroethylene 聚四氟乙烯</w:t>
            </w:r>
          </w:p>
        </w:tc>
      </w:tr>
      <w:tr w14:paraId="7B04F776">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271246BB">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2DCFC479">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AGV</w:t>
            </w:r>
          </w:p>
        </w:tc>
        <w:tc>
          <w:tcPr>
            <w:tcW w:w="5733" w:type="dxa"/>
            <w:gridSpan w:val="4"/>
            <w:tcBorders>
              <w:top w:val="nil"/>
              <w:left w:val="nil"/>
              <w:bottom w:val="nil"/>
              <w:right w:val="nil"/>
            </w:tcBorders>
            <w:vAlign w:val="center"/>
          </w:tcPr>
          <w:p w14:paraId="2C7EF79D">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Automated Guided Vehicle 自动导引运输车</w:t>
            </w:r>
          </w:p>
        </w:tc>
      </w:tr>
      <w:tr w14:paraId="3C912024">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135A3684">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126EFA60">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SCADA</w:t>
            </w:r>
          </w:p>
        </w:tc>
        <w:tc>
          <w:tcPr>
            <w:tcW w:w="5733" w:type="dxa"/>
            <w:gridSpan w:val="4"/>
            <w:tcBorders>
              <w:top w:val="nil"/>
              <w:left w:val="nil"/>
              <w:bottom w:val="nil"/>
              <w:right w:val="nil"/>
            </w:tcBorders>
            <w:vAlign w:val="center"/>
          </w:tcPr>
          <w:p w14:paraId="7C134C64">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Supervisory Control and Data Acquisition 监控与数据采集系统</w:t>
            </w:r>
          </w:p>
        </w:tc>
      </w:tr>
      <w:tr w14:paraId="76AFE43D">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59C9CAB9">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2657BA02">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EPC</w:t>
            </w:r>
          </w:p>
        </w:tc>
        <w:tc>
          <w:tcPr>
            <w:tcW w:w="5733" w:type="dxa"/>
            <w:gridSpan w:val="4"/>
            <w:tcBorders>
              <w:top w:val="nil"/>
              <w:left w:val="nil"/>
              <w:bottom w:val="nil"/>
              <w:right w:val="nil"/>
            </w:tcBorders>
            <w:vAlign w:val="center"/>
          </w:tcPr>
          <w:p w14:paraId="62064886">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Electronic Pressure Control 电子压力控制</w:t>
            </w:r>
          </w:p>
        </w:tc>
      </w:tr>
      <w:tr w14:paraId="623AF5FD">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6468D437">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33611BCE">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API</w:t>
            </w:r>
          </w:p>
        </w:tc>
        <w:tc>
          <w:tcPr>
            <w:tcW w:w="5733" w:type="dxa"/>
            <w:gridSpan w:val="4"/>
            <w:tcBorders>
              <w:top w:val="nil"/>
              <w:left w:val="nil"/>
              <w:bottom w:val="nil"/>
              <w:right w:val="nil"/>
            </w:tcBorders>
            <w:vAlign w:val="center"/>
          </w:tcPr>
          <w:p w14:paraId="62AF009D">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Application Programming Interface 应用程序编程接口</w:t>
            </w:r>
          </w:p>
        </w:tc>
      </w:tr>
      <w:tr w14:paraId="40DD7401">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29E47DD8">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79BD9BF1">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KPI</w:t>
            </w:r>
          </w:p>
        </w:tc>
        <w:tc>
          <w:tcPr>
            <w:tcW w:w="5733" w:type="dxa"/>
            <w:gridSpan w:val="4"/>
            <w:tcBorders>
              <w:top w:val="nil"/>
              <w:left w:val="nil"/>
              <w:bottom w:val="nil"/>
              <w:right w:val="nil"/>
            </w:tcBorders>
            <w:vAlign w:val="center"/>
          </w:tcPr>
          <w:p w14:paraId="19076AC5">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Key Performance Indicator 关键绩效指标</w:t>
            </w:r>
          </w:p>
        </w:tc>
      </w:tr>
      <w:tr w14:paraId="1E96C0B2">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73B07D70">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352C8E37">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OPC UA</w:t>
            </w:r>
          </w:p>
        </w:tc>
        <w:tc>
          <w:tcPr>
            <w:tcW w:w="5733" w:type="dxa"/>
            <w:gridSpan w:val="4"/>
            <w:tcBorders>
              <w:top w:val="nil"/>
              <w:left w:val="nil"/>
              <w:bottom w:val="nil"/>
              <w:right w:val="nil"/>
            </w:tcBorders>
            <w:vAlign w:val="center"/>
          </w:tcPr>
          <w:p w14:paraId="3E76FF09">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OPC Unified Architecture OPC统一架构</w:t>
            </w:r>
          </w:p>
        </w:tc>
      </w:tr>
      <w:tr w14:paraId="2B550274">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5B378F6A">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5805EBB4">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TCP/IP</w:t>
            </w:r>
          </w:p>
        </w:tc>
        <w:tc>
          <w:tcPr>
            <w:tcW w:w="5733" w:type="dxa"/>
            <w:gridSpan w:val="4"/>
            <w:tcBorders>
              <w:top w:val="nil"/>
              <w:left w:val="nil"/>
              <w:bottom w:val="nil"/>
              <w:right w:val="nil"/>
            </w:tcBorders>
            <w:vAlign w:val="center"/>
          </w:tcPr>
          <w:p w14:paraId="7B26843E">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Transmission Control Protocol/Internet Protocol 传输控制协议/网际协议</w:t>
            </w:r>
          </w:p>
        </w:tc>
      </w:tr>
      <w:tr w14:paraId="665B6582">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401BF61E">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526ED0C9">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RESTful</w:t>
            </w:r>
          </w:p>
        </w:tc>
        <w:tc>
          <w:tcPr>
            <w:tcW w:w="5733" w:type="dxa"/>
            <w:gridSpan w:val="4"/>
            <w:tcBorders>
              <w:top w:val="nil"/>
              <w:left w:val="nil"/>
              <w:bottom w:val="nil"/>
              <w:right w:val="nil"/>
            </w:tcBorders>
            <w:vAlign w:val="center"/>
          </w:tcPr>
          <w:p w14:paraId="5D39DFF6">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Representational State Transfer 表述性状态转移</w:t>
            </w:r>
          </w:p>
        </w:tc>
      </w:tr>
      <w:tr w14:paraId="5AB1D300">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12E54418">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34034930">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PLM</w:t>
            </w:r>
          </w:p>
        </w:tc>
        <w:tc>
          <w:tcPr>
            <w:tcW w:w="5733" w:type="dxa"/>
            <w:gridSpan w:val="4"/>
            <w:tcBorders>
              <w:top w:val="nil"/>
              <w:left w:val="nil"/>
              <w:bottom w:val="nil"/>
              <w:right w:val="nil"/>
            </w:tcBorders>
            <w:vAlign w:val="center"/>
          </w:tcPr>
          <w:p w14:paraId="2F53B0EB">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Product Lifecycle Management 产品生命周期管理</w:t>
            </w:r>
          </w:p>
        </w:tc>
      </w:tr>
      <w:tr w14:paraId="07C9ED97">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340977CC">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5E16836C">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MES</w:t>
            </w:r>
          </w:p>
        </w:tc>
        <w:tc>
          <w:tcPr>
            <w:tcW w:w="5733" w:type="dxa"/>
            <w:gridSpan w:val="4"/>
            <w:tcBorders>
              <w:top w:val="nil"/>
              <w:left w:val="nil"/>
              <w:bottom w:val="nil"/>
              <w:right w:val="nil"/>
            </w:tcBorders>
            <w:vAlign w:val="center"/>
          </w:tcPr>
          <w:p w14:paraId="7AE7EE8C">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Manufacturing Execution System 制造执行系统</w:t>
            </w:r>
          </w:p>
        </w:tc>
      </w:tr>
      <w:tr w14:paraId="65A530F6">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77774749">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0F73C7F8">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RBAC</w:t>
            </w:r>
          </w:p>
        </w:tc>
        <w:tc>
          <w:tcPr>
            <w:tcW w:w="5733" w:type="dxa"/>
            <w:gridSpan w:val="4"/>
            <w:tcBorders>
              <w:top w:val="nil"/>
              <w:left w:val="nil"/>
              <w:bottom w:val="nil"/>
              <w:right w:val="nil"/>
            </w:tcBorders>
            <w:vAlign w:val="center"/>
          </w:tcPr>
          <w:p w14:paraId="1F4CADF0">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Role-Based Access Control 基于角色的访问控制</w:t>
            </w:r>
          </w:p>
        </w:tc>
      </w:tr>
      <w:tr w14:paraId="5234B669">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1E89CE72">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65C147A3">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EBR</w:t>
            </w:r>
          </w:p>
        </w:tc>
        <w:tc>
          <w:tcPr>
            <w:tcW w:w="5733" w:type="dxa"/>
            <w:gridSpan w:val="4"/>
            <w:tcBorders>
              <w:top w:val="nil"/>
              <w:left w:val="nil"/>
              <w:bottom w:val="nil"/>
              <w:right w:val="nil"/>
            </w:tcBorders>
            <w:vAlign w:val="center"/>
          </w:tcPr>
          <w:p w14:paraId="0FB8C0EF">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Electronic Batch Record 电子批记录</w:t>
            </w:r>
          </w:p>
        </w:tc>
      </w:tr>
      <w:tr w14:paraId="45025435">
        <w:tblPrEx>
          <w:tblCellMar>
            <w:top w:w="0" w:type="dxa"/>
            <w:left w:w="108" w:type="dxa"/>
            <w:bottom w:w="0" w:type="dxa"/>
            <w:right w:w="108" w:type="dxa"/>
          </w:tblCellMar>
        </w:tblPrEx>
        <w:trPr>
          <w:trHeight w:val="397" w:hRule="atLeast"/>
          <w:jc w:val="center"/>
        </w:trPr>
        <w:tc>
          <w:tcPr>
            <w:tcW w:w="1131" w:type="dxa"/>
            <w:tcBorders>
              <w:top w:val="nil"/>
              <w:left w:val="nil"/>
              <w:bottom w:val="nil"/>
              <w:right w:val="nil"/>
            </w:tcBorders>
            <w:vAlign w:val="center"/>
          </w:tcPr>
          <w:p w14:paraId="15056F21">
            <w:pPr>
              <w:numPr>
                <w:ilvl w:val="0"/>
                <w:numId w:val="5"/>
              </w:numPr>
              <w:snapToGrid w:val="0"/>
              <w:spacing w:line="400" w:lineRule="exact"/>
              <w:jc w:val="center"/>
              <w:rPr>
                <w:rFonts w:ascii="微软雅黑" w:hAnsi="微软雅黑" w:eastAsia="微软雅黑" w:cs="微软雅黑"/>
                <w:b/>
                <w:szCs w:val="21"/>
                <w:lang w:val="zh-CN"/>
              </w:rPr>
            </w:pPr>
          </w:p>
        </w:tc>
        <w:tc>
          <w:tcPr>
            <w:tcW w:w="2478" w:type="dxa"/>
            <w:gridSpan w:val="2"/>
            <w:tcBorders>
              <w:top w:val="nil"/>
              <w:left w:val="nil"/>
              <w:bottom w:val="nil"/>
              <w:right w:val="nil"/>
            </w:tcBorders>
            <w:vAlign w:val="center"/>
          </w:tcPr>
          <w:p w14:paraId="66E1F52B">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ALCOA+</w:t>
            </w:r>
          </w:p>
        </w:tc>
        <w:tc>
          <w:tcPr>
            <w:tcW w:w="5733" w:type="dxa"/>
            <w:gridSpan w:val="4"/>
            <w:tcBorders>
              <w:top w:val="nil"/>
              <w:left w:val="nil"/>
              <w:bottom w:val="nil"/>
              <w:right w:val="nil"/>
            </w:tcBorders>
            <w:vAlign w:val="center"/>
          </w:tcPr>
          <w:p w14:paraId="626D7A01">
            <w:pPr>
              <w:pStyle w:val="59"/>
              <w:spacing w:line="400" w:lineRule="exact"/>
              <w:rPr>
                <w:rFonts w:ascii="微软雅黑" w:hAnsi="微软雅黑" w:eastAsia="微软雅黑" w:cs="微软雅黑"/>
                <w:lang w:val="zh-CN"/>
              </w:rPr>
            </w:pPr>
            <w:r>
              <w:rPr>
                <w:rFonts w:hint="eastAsia" w:ascii="微软雅黑" w:hAnsi="微软雅黑" w:eastAsia="微软雅黑" w:cs="微软雅黑"/>
              </w:rPr>
              <w:t>Attributable, Legible, Contemporaneous, Original, Accurate, Complete, Consistent, Enduring, Available 数据完整性原则</w:t>
            </w:r>
          </w:p>
        </w:tc>
      </w:tr>
      <w:tr w14:paraId="4A99558E">
        <w:tblPrEx>
          <w:tblCellMar>
            <w:top w:w="0" w:type="dxa"/>
            <w:left w:w="108" w:type="dxa"/>
            <w:bottom w:w="0" w:type="dxa"/>
            <w:right w:w="108" w:type="dxa"/>
          </w:tblCellMar>
        </w:tblPrEx>
        <w:trPr>
          <w:cantSplit/>
          <w:trHeight w:val="397" w:hRule="atLeast"/>
          <w:jc w:val="center"/>
        </w:trPr>
        <w:tc>
          <w:tcPr>
            <w:tcW w:w="9342" w:type="dxa"/>
            <w:gridSpan w:val="7"/>
          </w:tcPr>
          <w:p w14:paraId="6C2BF5C0">
            <w:pPr>
              <w:keepNext/>
              <w:numPr>
                <w:ilvl w:val="0"/>
                <w:numId w:val="4"/>
              </w:numPr>
              <w:spacing w:line="400" w:lineRule="exact"/>
              <w:ind w:left="1106" w:hanging="1106"/>
              <w:outlineLvl w:val="0"/>
              <w:rPr>
                <w:rFonts w:ascii="微软雅黑" w:hAnsi="微软雅黑" w:eastAsia="微软雅黑" w:cs="微软雅黑"/>
                <w:b/>
                <w:szCs w:val="21"/>
              </w:rPr>
            </w:pPr>
            <w:bookmarkStart w:id="5" w:name="_Toc91006"/>
            <w:r>
              <w:rPr>
                <w:rFonts w:hint="eastAsia" w:ascii="微软雅黑" w:hAnsi="微软雅黑" w:eastAsia="微软雅黑" w:cs="微软雅黑"/>
                <w:b/>
                <w:szCs w:val="21"/>
              </w:rPr>
              <w:t>设备描述</w:t>
            </w:r>
            <w:bookmarkEnd w:id="5"/>
          </w:p>
        </w:tc>
      </w:tr>
      <w:tr w14:paraId="789FE486">
        <w:tblPrEx>
          <w:tblCellMar>
            <w:top w:w="0" w:type="dxa"/>
            <w:left w:w="108" w:type="dxa"/>
            <w:bottom w:w="0" w:type="dxa"/>
            <w:right w:w="108" w:type="dxa"/>
          </w:tblCellMar>
        </w:tblPrEx>
        <w:trPr>
          <w:trHeight w:val="90" w:hRule="atLeast"/>
          <w:jc w:val="center"/>
        </w:trPr>
        <w:tc>
          <w:tcPr>
            <w:tcW w:w="1131" w:type="dxa"/>
          </w:tcPr>
          <w:p w14:paraId="18DB7180">
            <w:pPr>
              <w:spacing w:line="400" w:lineRule="exact"/>
              <w:rPr>
                <w:rFonts w:ascii="微软雅黑" w:hAnsi="微软雅黑" w:eastAsia="微软雅黑" w:cs="微软雅黑"/>
                <w:szCs w:val="21"/>
              </w:rPr>
            </w:pPr>
          </w:p>
        </w:tc>
        <w:tc>
          <w:tcPr>
            <w:tcW w:w="8211" w:type="dxa"/>
            <w:gridSpan w:val="6"/>
          </w:tcPr>
          <w:p w14:paraId="59B2EE7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1）本项目设备系统覆盖发酵液纯化工艺全流程，包括细胞破碎、固液分离、微滤澄清、层析纯化、纳滤浓缩、结晶和冻干等应用场景。</w:t>
            </w:r>
          </w:p>
          <w:p w14:paraId="443C957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2）各纯化单元应具备良好的卫生级设计、自动化控制功能，满足小试工艺开发、过程监控和数据记录要求。</w:t>
            </w:r>
          </w:p>
        </w:tc>
      </w:tr>
      <w:tr w14:paraId="28EA1247">
        <w:tblPrEx>
          <w:tblCellMar>
            <w:top w:w="0" w:type="dxa"/>
            <w:left w:w="108" w:type="dxa"/>
            <w:bottom w:w="0" w:type="dxa"/>
            <w:right w:w="108" w:type="dxa"/>
          </w:tblCellMar>
        </w:tblPrEx>
        <w:trPr>
          <w:cantSplit/>
          <w:trHeight w:val="397" w:hRule="atLeast"/>
          <w:jc w:val="center"/>
        </w:trPr>
        <w:tc>
          <w:tcPr>
            <w:tcW w:w="9342" w:type="dxa"/>
            <w:gridSpan w:val="7"/>
          </w:tcPr>
          <w:p w14:paraId="389553EF">
            <w:pPr>
              <w:keepNext/>
              <w:numPr>
                <w:ilvl w:val="0"/>
                <w:numId w:val="4"/>
              </w:numPr>
              <w:spacing w:line="400" w:lineRule="exact"/>
              <w:ind w:left="1106" w:hanging="1106"/>
              <w:outlineLvl w:val="0"/>
              <w:rPr>
                <w:rFonts w:ascii="微软雅黑" w:hAnsi="微软雅黑" w:eastAsia="微软雅黑" w:cs="微软雅黑"/>
                <w:b/>
                <w:szCs w:val="21"/>
              </w:rPr>
            </w:pPr>
            <w:bookmarkStart w:id="6" w:name="_Toc91007"/>
            <w:r>
              <w:rPr>
                <w:rFonts w:hint="eastAsia" w:ascii="微软雅黑" w:hAnsi="微软雅黑" w:eastAsia="微软雅黑" w:cs="微软雅黑"/>
                <w:b/>
                <w:szCs w:val="21"/>
              </w:rPr>
              <w:t>内容</w:t>
            </w:r>
            <w:bookmarkEnd w:id="6"/>
          </w:p>
        </w:tc>
      </w:tr>
      <w:tr w14:paraId="37E82072">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0C7A062B">
            <w:pPr>
              <w:keepNext/>
              <w:numPr>
                <w:ilvl w:val="1"/>
                <w:numId w:val="4"/>
              </w:numPr>
              <w:spacing w:line="400" w:lineRule="exact"/>
              <w:outlineLvl w:val="0"/>
              <w:rPr>
                <w:rFonts w:ascii="微软雅黑" w:hAnsi="微软雅黑" w:eastAsia="微软雅黑" w:cs="微软雅黑"/>
                <w:szCs w:val="21"/>
              </w:rPr>
            </w:pPr>
            <w:bookmarkStart w:id="7" w:name="_Toc91008"/>
            <w:r>
              <w:rPr>
                <w:rFonts w:hint="eastAsia" w:ascii="微软雅黑" w:hAnsi="微软雅黑" w:eastAsia="微软雅黑" w:cs="微软雅黑"/>
                <w:b/>
                <w:bCs/>
                <w:kern w:val="0"/>
                <w:szCs w:val="21"/>
              </w:rPr>
              <w:t>碟式离心机</w:t>
            </w:r>
            <w:bookmarkEnd w:id="7"/>
          </w:p>
        </w:tc>
      </w:tr>
      <w:tr w14:paraId="242E1AB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DD6C5E8">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8E9D40A">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8275485">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75326DA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3C7CA0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B6719B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用途：碟片式离心机，用于发酵液固液分离。</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AAEA10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990C8A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A162E8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EF41CD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设备处理能力250L/小时，应覆盖5~15L/批次的发酵液处理需求。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E4EE03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B4C1C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2042A8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D27272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分离方式应为碟片式或管式离心机，支持连续或批次进料。</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A90532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9B09F7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D3517B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65A764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▲离心机转速范围应覆盖1000~5000 rpm，可调。</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65BDF8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D7E0CC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53FC8C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D7DB1C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设备应具备自动排渣功能。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99FB69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B645C9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C11850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152100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设备应具备温控功能，可维持料液温度在4~25℃范围内。</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E5E4BA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E2AA08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552083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C4E260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分离后上清液浊度应满足下游工艺要求。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C7A4D7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124E9C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E29B62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EC2BDD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与料液接触的材质应为SS316L不锈钢或制药级材料，无毒、耐腐蚀。</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AA7496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FE3742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AFFB67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DED2F8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接触表面应光滑、无死角，便于清洗。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40E2D6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5090C9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B712D6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A945D6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381C7F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7060AC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643C7B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4BB5E4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★控制系统应支持转速、进料流速、排渣周期、温度等参数的设定与实时监控。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CE16DC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819310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B4CB97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9115BB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★设备应具备自动进料、自动排渣、自动清洗功能。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731182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68C852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95D2D1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922D4D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系统应具备故障自诊断与分级报警功能（提示/警告/紧急三级）。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3630AC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F7799F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BF93BA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301D7F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设备应配备HMI触摸屏人机交互界面，支持参数设置、运行监控与操作记录。</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4C6F84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0862F2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16D52F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78D70E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▲系统应自动记录每一批次的操作参数（转速、进料流速、排渣周期、温度、处理量等）。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0C7A2D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6549F0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CB109C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822417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427468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9B4406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73CA1B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4AF315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041ED9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C7680A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1AA2F5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E0E2AC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6E8794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072103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1E533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31A092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EBB581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641C44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F9B44A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F06B34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28BE14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FA8D1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50703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D6A253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F287F0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B57ABC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27B36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871F35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C5FC8A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97531F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9A7EA8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EC4FDB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7A8DB20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（1）碟片式离心机主机1台；</w:t>
            </w:r>
          </w:p>
          <w:p w14:paraId="1EFBF7E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（2）进料泵1台；</w:t>
            </w:r>
          </w:p>
          <w:p w14:paraId="30650FF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（3）PLC控制系统1套；</w:t>
            </w:r>
          </w:p>
          <w:p w14:paraId="4C6A754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（4）HMI触摸屏1台；</w:t>
            </w:r>
          </w:p>
          <w:p w14:paraId="0723800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（5）温度传感器、压力传感器各1套；</w:t>
            </w:r>
          </w:p>
          <w:p w14:paraId="428437F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（6）上位机软件1套；</w:t>
            </w:r>
          </w:p>
          <w:p w14:paraId="3C4698D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（7）随机备品备件1套；</w:t>
            </w:r>
          </w:p>
          <w:p w14:paraId="434FC12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78E494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341DCA1">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1ED47382">
            <w:pPr>
              <w:keepNext/>
              <w:numPr>
                <w:ilvl w:val="1"/>
                <w:numId w:val="4"/>
              </w:numPr>
              <w:spacing w:line="400" w:lineRule="exact"/>
              <w:outlineLvl w:val="0"/>
              <w:rPr>
                <w:rFonts w:ascii="微软雅黑" w:hAnsi="微软雅黑" w:eastAsia="微软雅黑" w:cs="微软雅黑"/>
                <w:szCs w:val="21"/>
              </w:rPr>
            </w:pPr>
            <w:bookmarkStart w:id="8" w:name="_Toc91009"/>
            <w:r>
              <w:rPr>
                <w:rFonts w:hint="eastAsia" w:ascii="微软雅黑" w:hAnsi="微软雅黑" w:eastAsia="微软雅黑" w:cs="微软雅黑"/>
                <w:b/>
                <w:bCs/>
                <w:kern w:val="0"/>
                <w:szCs w:val="21"/>
              </w:rPr>
              <w:t>均质机</w:t>
            </w:r>
            <w:bookmarkEnd w:id="8"/>
          </w:p>
        </w:tc>
      </w:tr>
      <w:tr w14:paraId="1BEA187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FEC2530">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8A7798C">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9C31E32">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6792081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356528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791732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用途：高压均质机，用于细胞破壁。</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A76FE5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6126CE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7CA45C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2EE0CB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设备处理能力500升/小时，同时匹配5~15L发酵液批次处理需求。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B8E38C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D8E24F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91CF6F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EA531B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▲高压均质机工作压力范围应覆盖0~1500 bar；有效破壁压力≥1000bar。</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8E5BA2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DE338F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17DB74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970765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高压均质机最小样品处理量应≤150 mL。</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A445CB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8298EF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24C6D3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5A8743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★设备应具备温度控制功能，破碎后料液温度应控制在4~25℃范围内。</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A6266A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63E5AF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AA284C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CA7901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▲细胞破碎率应≥90%。</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B6F648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1544D9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DD9427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B5325E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均质阀组件应采用金刚石或陶瓷等耐磨材料。</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73E2E3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DABCBD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577B93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5FD6A6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与料液接触的材质应为SS316L不锈钢或制药级材料，无毒、耐腐蚀。</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DF0D49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0D4F83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8BC6F1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481FAD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接触表面应光滑、无死角，便于清洗。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3FEF02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0A39C9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591BC4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C63A33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9A3EDA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93546E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2C9A0C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79ADAC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控制系统应支持压力、温度、循环次数等参数的设定与实时监控。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E0FB5C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9183D5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84D766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7C1EC0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设备应具备过压保护、过热保护等安全功能。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FA1271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C694A1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7427E9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7D90F1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HMI界面应支持工艺参数的编程存储与调用。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AB4EF7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4B3DC2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005211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407D63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系统应自动记录每批次的操作参数（压力、温度、时间、流量、循环次数等）。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BBFB36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C5460B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564877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84A258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C611EF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117110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E2C43E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BB8DEB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F6A7AE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19630A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C93DAB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FF524C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F1EFEE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20C8BA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334A0B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A68BC9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D43628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9594AD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908B1A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A194C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4ACBDC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D8CD0A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BE21B3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65CE29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441B02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B9E2AC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652147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EBFB73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AE5689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D00C3D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FA07AA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77B568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上位机软件应具备智能破壁AI功能，可根据细胞类型自动推荐最优压力与循环次数。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A4F5F6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18390E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21305C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054BB1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5B12A8C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（1）高压均质机主机1台；</w:t>
            </w:r>
          </w:p>
          <w:p w14:paraId="205245E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（2）均质阀组件（金刚石/陶瓷）1套；</w:t>
            </w:r>
          </w:p>
          <w:p w14:paraId="5D9D010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（3）进料系统1套；</w:t>
            </w:r>
          </w:p>
          <w:p w14:paraId="310A03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（4）PLC控制系统1套；</w:t>
            </w:r>
          </w:p>
          <w:p w14:paraId="52C846A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（5）HMI触摸屏1台；</w:t>
            </w:r>
          </w:p>
          <w:p w14:paraId="10489B6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（6）温度传感器、压力传感器各1套；</w:t>
            </w:r>
          </w:p>
          <w:p w14:paraId="2740319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（7）上位机软件1套；</w:t>
            </w:r>
          </w:p>
          <w:p w14:paraId="3ED8412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（8）随机备品备件1套；</w:t>
            </w:r>
          </w:p>
          <w:p w14:paraId="7094AC3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31DA12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8390717">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3FAA3639">
            <w:pPr>
              <w:keepNext/>
              <w:numPr>
                <w:ilvl w:val="1"/>
                <w:numId w:val="4"/>
              </w:numPr>
              <w:spacing w:line="400" w:lineRule="exact"/>
              <w:outlineLvl w:val="0"/>
              <w:rPr>
                <w:rFonts w:ascii="微软雅黑" w:hAnsi="微软雅黑" w:eastAsia="微软雅黑" w:cs="微软雅黑"/>
                <w:szCs w:val="21"/>
              </w:rPr>
            </w:pPr>
            <w:bookmarkStart w:id="9" w:name="_Toc91010"/>
            <w:r>
              <w:rPr>
                <w:rFonts w:hint="eastAsia" w:ascii="微软雅黑" w:hAnsi="微软雅黑" w:eastAsia="微软雅黑" w:cs="微软雅黑"/>
                <w:b/>
                <w:bCs/>
                <w:kern w:val="0"/>
                <w:szCs w:val="21"/>
              </w:rPr>
              <w:t>陶瓷膜微滤</w:t>
            </w:r>
            <w:bookmarkEnd w:id="9"/>
          </w:p>
        </w:tc>
      </w:tr>
      <w:tr w14:paraId="0704705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08F428C">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B1F0C09">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EBFA3C8">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0E12235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65BF15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1FCDAA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用途：陶瓷膜微滤系统，用于发酵液澄清过滤。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C6A58C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6329D5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A527B8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A24E40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设备处理能力应覆盖5~15L/批次。</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659035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5CA800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4C9095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7C4F6E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陶瓷膜孔径应支持200nm~500nm可选，可快速更换。</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8F17F8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129241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7F73DE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AD7F68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过滤方式应为错流过滤。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4EFF2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169D2B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53FC57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F1816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膜材质应为无机陶瓷（氧化铝、氧化钛、氧化锆等），耐腐蚀、耐高温。</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6585C8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386580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04FBD8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CA2C23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陶瓷膜应支持在线高温消毒。</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7B547D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F53083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74A2C6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5EB28D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▲设备应具备跨膜压差（TMP）监测功能。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EABA95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D599FF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ED49D2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51635E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系统应具备自动反冲功能。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08870D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386CDF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008452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444B64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膜组件应支持快换，适配不同孔径切换。</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263699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958A77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864D8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4B6750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▲双泵配置下，循环泵变频启动控制；膜面流速≥4m/s。</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8DB650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CC09B4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6F0A81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795382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工作压力0~0.4 MPa。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EFF111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00BAA9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8CA969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ECE109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配套1套20L AGV上料罐，SS316L材质，密闭卫生级，卡盘快接。</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13E46F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9E5AF9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2ABC0A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A616F1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配套1套20L AGV下料罐，SS316L材质，密闭卫生级，卡盘快接。</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B5DC98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22FFB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C96B63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233797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25EAAD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C17A82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3DE8AF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896D8B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控制系统应支持跨膜压差（TMP）、循环流速、温度等参数的设定与监控。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1198A2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2280A8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92B4AC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C31620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系统应具备自动反冲程序。</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CC3E15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7EF449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920A20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6FF51D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应配备在线压力传感器、流量计、温度传感器。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D74DC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4043B2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20006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B6FC69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系统应具备膜通量预测与自动反冲决策功能。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26386A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DA9DAC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C0FBFF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B27ADB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系统应自动记录每批次的操作参数（TMP、循环流速、温度、通量、反冲记录等）。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33FF0E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2DDF3F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58ABF6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164BA3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6767AD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F598F4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6B54D7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932F42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6D26B3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04E948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FD3CB5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32C88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9251B7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984B1F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8C0A47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BE7396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9564B1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F77B72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3CEC05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4D3EC2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E2D94F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7460C5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4BAFD1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69C8F6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19EA87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B39377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208856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33D1CC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AF3A33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1B3575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D42271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8D4E6C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上位机软件应具备膜通量预测AI功能，可提前预判TMP爬升趋势，联动触发自动反冲或清洗。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81DC19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E11BC4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214C15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2C1FAC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49CEA8F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（1）陶瓷膜微滤主机1台；</w:t>
            </w:r>
          </w:p>
          <w:p w14:paraId="113E142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（2）陶瓷膜组件（含200nm、500nm孔径各1套）；</w:t>
            </w:r>
          </w:p>
          <w:p w14:paraId="2D027FA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（3）循环泵2台（变频控制）；</w:t>
            </w:r>
          </w:p>
          <w:p w14:paraId="7F8FDED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（4）20L AGV上料罐1套（SS316L，密闭卫生级，卡盘快接）；</w:t>
            </w:r>
          </w:p>
          <w:p w14:paraId="172A838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（5）20L AGV下料罐1套（SS316L，密闭卫生级，卡盘快接）；</w:t>
            </w:r>
          </w:p>
          <w:p w14:paraId="0103E94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（6）PLC控制系统1套；</w:t>
            </w:r>
          </w:p>
          <w:p w14:paraId="66660F9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（7）HMI触摸屏1台；</w:t>
            </w:r>
          </w:p>
          <w:p w14:paraId="5E2EEBC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（8）在线压力传感器、流量计、温度传感器各1套；</w:t>
            </w:r>
          </w:p>
          <w:p w14:paraId="69D307C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（9）上位机软件1套；</w:t>
            </w:r>
          </w:p>
          <w:p w14:paraId="421BB9A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（10）随机备品备件1套；</w:t>
            </w:r>
          </w:p>
          <w:p w14:paraId="28FAACA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（11）操作手册及技术文件1套。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A3501E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0B22256">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13B01513">
            <w:pPr>
              <w:keepNext/>
              <w:numPr>
                <w:ilvl w:val="1"/>
                <w:numId w:val="4"/>
              </w:numPr>
              <w:spacing w:line="400" w:lineRule="exact"/>
              <w:outlineLvl w:val="0"/>
              <w:rPr>
                <w:rFonts w:ascii="微软雅黑" w:hAnsi="微软雅黑" w:eastAsia="微软雅黑" w:cs="微软雅黑"/>
                <w:szCs w:val="21"/>
              </w:rPr>
            </w:pPr>
            <w:bookmarkStart w:id="10" w:name="_Toc91011"/>
            <w:r>
              <w:rPr>
                <w:rFonts w:hint="eastAsia" w:ascii="微软雅黑" w:hAnsi="微软雅黑" w:eastAsia="微软雅黑" w:cs="微软雅黑"/>
                <w:b/>
                <w:bCs/>
                <w:kern w:val="0"/>
                <w:szCs w:val="21"/>
              </w:rPr>
              <w:t>层析系统</w:t>
            </w:r>
            <w:bookmarkEnd w:id="10"/>
          </w:p>
        </w:tc>
      </w:tr>
      <w:tr w14:paraId="2323E95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3BC2000">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67FCD27">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9F7BF33">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63DFD96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951AEA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33D414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用途：层析系统，用于目标产物的分离纯化。</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69B0B9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735A80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9064F8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47A575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配备1200mL/分钟输液泵，100mL/分钟输液泵，最大支持200mm内径层析柱，支持亲和/离子交换/凝胶过滤/疏水等多种模式。配备内径50mm层析柱。</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E7F1DE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E5022A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077FC8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42EF1A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多通道溶剂切换（≥4路）。</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4BFD1B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AD0552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0496BE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D88819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配备在线pH/电导/UV（280/254nm）检测器。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6CAA0F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DF8C32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B550C0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0DB28C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系统应配备全自动控制软件，支持方法编辑、运行与监控。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67B606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681C99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E3FC38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26DBC0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系统应具备自动上样、自动收集、自动清洗、自动再生功能。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62CFAC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EC5052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FA1514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239DC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系统应具备压力保护、气泡检测等安全功能。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9B4ECF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70C7FE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C156A3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19DDB2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HMI界面应支持方法库的存储与调用。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B2BD34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68D536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F1A3E1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7FC45B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▲系统应自动记录每批次层析图谱（UV、pH、电导率、压力、流速等）。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550B9A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01CB3F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64E36A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FD21D9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层析数据应支持导出为通用格式（如CSV）。</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CCB8C1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20FA07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B0A373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B9399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电子批记录应包含层析柱信息、缓冲液信息、方法参数及纯化结果。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5297D1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F2072C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A1BA7E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EA0B6C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配套1套中控室操作台，含紧急停止总控按钮。</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DBFC42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E48EA8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70F9A2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8135FC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配套1批卫生级管道、管件及安装辅材SS316L，含弯头/三通/变径等。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631A20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D38DB5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58E9AA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1BCF3C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配套10套卡盘快接套装，DN15，SS316L，Tri-Clamp标准。</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51939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8FAAD5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530190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75DFC6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配套10根PTFE内衬不锈钢编织软管，DN15×1.5m，SS316L+PTFE。</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454968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93F215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487827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67DE21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4779DD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E874F5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0E3A9E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97BC95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06F93A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FE6D5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07ADA0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3FE4F1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8A5798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5E94AC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59F5CF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14278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33A2D0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45BA46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4F7B6B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56F31B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460DBE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237860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64DE0A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4C0ADA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D90A9E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1E95F0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1D3286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B7C0F5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B6E9D3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65AB52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3F7A8A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9195F7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73BB223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（1）层析系统主机1套（含泵、阀、检测器等）；</w:t>
            </w:r>
          </w:p>
          <w:p w14:paraId="4C0FD8C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（2）1200mL/分钟输液泵1台；</w:t>
            </w:r>
          </w:p>
          <w:p w14:paraId="76EB2E7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（3）100mL/分钟输液泵1台；</w:t>
            </w:r>
          </w:p>
          <w:p w14:paraId="1EE6EAB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（4）内径50mm层析柱1根；</w:t>
            </w:r>
          </w:p>
          <w:p w14:paraId="2DD8B67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（5）多通道溶剂切换阀（≥4路）1套；</w:t>
            </w:r>
          </w:p>
          <w:p w14:paraId="690CBB7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（6）在线pH/电导/UV（280/254nm）检测器1套；</w:t>
            </w:r>
          </w:p>
          <w:p w14:paraId="1B057B0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（7）自动组分收集器1台；</w:t>
            </w:r>
          </w:p>
          <w:p w14:paraId="190D287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（8）全自动控制软件1套；</w:t>
            </w:r>
          </w:p>
          <w:p w14:paraId="5F2EC68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（9）中控室操作台1套（含紧急停止总控按钮）；</w:t>
            </w:r>
          </w:p>
          <w:p w14:paraId="5CFF788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（10）卫生级管道、管件及安装辅材SS316L 1批；</w:t>
            </w:r>
          </w:p>
          <w:p w14:paraId="508D30C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（11）卡盘快接套装10套（DN15，SS316L，Tri-Clamp标准）；</w:t>
            </w:r>
          </w:p>
          <w:p w14:paraId="76D8F05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（12）PTFE内衬不锈钢编织软管10根（DN15×1.5m，SS316L+PTFE）；</w:t>
            </w:r>
          </w:p>
          <w:p w14:paraId="2E425A4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（13）上位机软件1套；</w:t>
            </w:r>
          </w:p>
          <w:p w14:paraId="5A32788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（14）随机备品备件1套；</w:t>
            </w:r>
          </w:p>
          <w:p w14:paraId="7CC8A5D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（15）操作手册及技术文件1套。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70BBB0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5158C04">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5CE44710">
            <w:pPr>
              <w:keepNext/>
              <w:numPr>
                <w:ilvl w:val="1"/>
                <w:numId w:val="4"/>
              </w:numPr>
              <w:spacing w:line="400" w:lineRule="exact"/>
              <w:outlineLvl w:val="0"/>
              <w:rPr>
                <w:rFonts w:ascii="微软雅黑" w:hAnsi="微软雅黑" w:eastAsia="微软雅黑" w:cs="微软雅黑"/>
                <w:szCs w:val="21"/>
              </w:rPr>
            </w:pPr>
            <w:bookmarkStart w:id="11" w:name="_Toc91012"/>
            <w:r>
              <w:rPr>
                <w:rFonts w:hint="eastAsia" w:ascii="微软雅黑" w:hAnsi="微软雅黑" w:eastAsia="微软雅黑" w:cs="微软雅黑"/>
                <w:b/>
                <w:bCs/>
                <w:kern w:val="0"/>
                <w:szCs w:val="21"/>
              </w:rPr>
              <w:t>陶瓷膜</w:t>
            </w:r>
            <w:bookmarkEnd w:id="11"/>
            <w:r>
              <w:rPr>
                <w:rFonts w:hint="eastAsia" w:ascii="微软雅黑" w:hAnsi="微软雅黑" w:eastAsia="微软雅黑" w:cs="微软雅黑"/>
                <w:b/>
                <w:bCs/>
                <w:kern w:val="0"/>
                <w:szCs w:val="21"/>
                <w:lang w:val="en-US" w:eastAsia="zh-CN"/>
              </w:rPr>
              <w:t>微滤</w:t>
            </w:r>
          </w:p>
        </w:tc>
      </w:tr>
      <w:tr w14:paraId="1EB80A6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BAC9CA">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6F26ADF">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D23EB87">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0152EC3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96C187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5E8B2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用途：陶瓷膜纳滤系统，用于样品浓缩和脱盐。</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9AE105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0A8F82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52AF39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AF090D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设备处理能力应覆盖5~15L/批次。</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A5587A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C1F411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11881B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40E26E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系统应采用陶瓷纳滤膜，耐压40 bar。</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ACDBF8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9760FC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58FEC6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B831DA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膜芯应支持快换，适配不同分子量截留。</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DF8B61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243CB1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3592A9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5478F9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系统循环体积应≤1L，以减少物料损失。</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E32DF9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07276D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2C5BA3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9EB13E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高压泵和循环泵双泵配置，操作压力范围应覆盖0~40 bar，可调。</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1BA426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C3E7D6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FF3818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7A8931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系统应支持恒流或恒压操作模式。</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EF40E3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0E5341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47FCED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864D6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浓缩倍数应能达到5~20倍（视物料特性而定）。</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67C801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6DE995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7E9D06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25107C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▲设备应具备温度控制功能，维持料液温度在4~40℃。</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C9FE9B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6DD9DB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3F4C87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7DB989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系统应配备变频泵控制。</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962D88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EEA378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903E4C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67F24E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96B8EF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F24C09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0747CF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1AD627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控制系统应支持跨膜压力、流量、温度、浓缩倍数等参数的设定与监控。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D8DF3A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8201E3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6FCA89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E400EA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应配备在线压力传感器、流量计、温度传感器。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1DBBD0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C8D179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201CEA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594F85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系统应具备膜通量衰减预警功能。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DA05DC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2C78EF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9A7077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C67507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系统应自动记录每批次的操作参数（TMP、流量、温度、时间、浓缩倍数等）。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F66FD6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DE08BD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B607D9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FEBAA7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系统应自动判断过滤终点，记录完整过程数据。</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BB88C0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84D485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3821BA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CB691C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配套1套20L AGV上料罐，SS316L材质，密闭卫生级，卡盘快接。</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51A004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E4FE24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5CB42A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49F15C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配套1套20L AGV下料罐，SS316L材质，密闭卫生级，卡盘快接。</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1A406D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C0F8BD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A4E03D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8DC83E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B09D2F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9BD2C5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97EB7C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16BE1B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487428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F84A62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C7493B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F935D1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0E35AD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C07680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A917B9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CF27E2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7071A5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A8D5C0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BC2296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506E09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295802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F5937F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1E8448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D0B00B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C96293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0F618F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F47A8C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7211AA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5643FD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71D727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9002DE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4E3B55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上位机软件应具备膜通量预测AI功能，可提前预判TMP爬升趋势，联动触发自动反冲或清洗。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22F88D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107AA8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C803EA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FEB2FA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65F74ED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（1）陶瓷膜纳滤主机1台；</w:t>
            </w:r>
          </w:p>
          <w:p w14:paraId="6B06CA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（2）陶瓷纳滤膜芯（适配不同分子量截留）1套；</w:t>
            </w:r>
          </w:p>
          <w:p w14:paraId="5752D07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（3）循环泵1台（变频控制）；</w:t>
            </w:r>
          </w:p>
          <w:p w14:paraId="6608E27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（4）20L AGV上料罐1套（SS316L，密闭卫生级，卡盘快接）；</w:t>
            </w:r>
          </w:p>
          <w:p w14:paraId="798E98A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（5）20L AGV下料罐1套（SS316L，密闭卫生级，卡盘快接）；</w:t>
            </w:r>
          </w:p>
          <w:p w14:paraId="71A809D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（6）PLC控制系统1套；</w:t>
            </w:r>
          </w:p>
          <w:p w14:paraId="6332BE4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（7）HMI触摸屏1台；</w:t>
            </w:r>
          </w:p>
          <w:p w14:paraId="3CBB5A3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（8）在线压力传感器、流量计、温度传感器各1套；</w:t>
            </w:r>
          </w:p>
          <w:p w14:paraId="55F4EBE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（9）上位机软件1套；</w:t>
            </w:r>
          </w:p>
          <w:p w14:paraId="59CCA7B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（10）随机备品备件1套；</w:t>
            </w:r>
          </w:p>
          <w:p w14:paraId="2E60DA4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（11）操作手册及技术文件1套。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E92487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A62FC7F">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6535EBDA">
            <w:pPr>
              <w:keepNext/>
              <w:numPr>
                <w:ilvl w:val="1"/>
                <w:numId w:val="4"/>
              </w:numPr>
              <w:spacing w:line="400" w:lineRule="exact"/>
              <w:outlineLvl w:val="0"/>
              <w:rPr>
                <w:rFonts w:ascii="微软雅黑" w:hAnsi="微软雅黑" w:eastAsia="微软雅黑" w:cs="微软雅黑"/>
                <w:szCs w:val="21"/>
              </w:rPr>
            </w:pPr>
            <w:r>
              <w:rPr>
                <w:rFonts w:hint="eastAsia" w:ascii="微软雅黑" w:hAnsi="微软雅黑" w:eastAsia="微软雅黑" w:cs="微软雅黑"/>
                <w:b/>
                <w:bCs/>
                <w:kern w:val="0"/>
                <w:szCs w:val="21"/>
                <w:lang w:val="en-US" w:eastAsia="zh-CN"/>
              </w:rPr>
              <w:t>结晶罐</w:t>
            </w:r>
          </w:p>
        </w:tc>
      </w:tr>
      <w:tr w14:paraId="5516BD1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C380D31">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0841AB3">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CA5E0C7">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7504D651">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40C662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5ADA0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用途：智能结晶平台，用于样品的结晶工艺开发。</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AFF5F4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212145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C5F09A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68D65B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设备处理能力2000升，同时覆盖5~15L/批次。</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C25264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39B70E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82BE59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81FE57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结晶罐应配备控温系统，支持温度曲线编程。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47E04C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6B99EA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8CF694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3DED96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搅拌速率应可调。</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49BE30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DFDCC6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CB139F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F89EBA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设备应配备在线浊度监测。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A7BBEE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30ACE4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74A438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C77E25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设备应支持在线图像识别，用于晶型监测。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2A8687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9BD9D4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903ACF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9AFCB4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可更换搅拌桨与挡板结构。</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448EA7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65E404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22F8BC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556C9A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▲温度控制范围-10℃～80℃；压力控制范围-0.1~0.2MPa，控制精度应≤0.5℃。</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95FEE2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B73107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5B5851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7607FC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系统应支持降温析晶、挥发析晶等多种结晶方法。</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C134FC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402244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1CC3C2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AB95BC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244932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9837C9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BC28D7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2832B6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控制系统应支持温度曲线、搅拌速率等参数的设定与监控。</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ACE463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6DADC4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1D688E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1D6E06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系统应具备自动加晶种功能。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BE508B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4D5BBC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AC0B97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83201B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设备应支持基于图像识别与动力学模型的结晶参数自动优化。</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FC406A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49784C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8999F0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AECC3E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系统应自动记录每批次的操作参数（温度曲线、搅拌速率、浊度、晶种添加时间等）。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BC734E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93E7F0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784EA7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5DB3A3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62E040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F013AE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24CF7F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4F17D3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78469E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2EE0BB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046737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3EA34C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00911F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875052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8C1081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837482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56FE53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B66A4D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42D3D0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45F6B9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2D5282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A07C89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5033709">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B52252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506851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F635A2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3DBC7F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2F7F3D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2389E7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CF28F7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D2123B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0E460B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上位机软件应具备结晶形态识别AI功能，可基于在线显微图像分类晶型，自动调节降温速率与晶种添加策略。</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883B06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6B14CA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94CC24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4949BF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w:t>
            </w:r>
          </w:p>
          <w:p w14:paraId="60E2C6F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（1）智能结晶平台主机1套（含结晶罐、控温系统）；</w:t>
            </w:r>
          </w:p>
          <w:p w14:paraId="04A8074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（2）搅拌系统1套（含可更换搅拌桨与挡板结构）；</w:t>
            </w:r>
          </w:p>
          <w:p w14:paraId="4DB115C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（3）在线浊度监测仪1套；</w:t>
            </w:r>
          </w:p>
          <w:p w14:paraId="2EAE370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（4）在线图像识别系统1套（含显微成像模块）；</w:t>
            </w:r>
          </w:p>
          <w:p w14:paraId="584D88C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（5）PLC控制系统1套；</w:t>
            </w:r>
          </w:p>
          <w:p w14:paraId="72CFE8A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（6）HMI触摸屏1台；</w:t>
            </w:r>
          </w:p>
          <w:p w14:paraId="362BBE4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（7）上位机软件1套；</w:t>
            </w:r>
          </w:p>
          <w:p w14:paraId="44D4022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（8）随机备品备件1套；</w:t>
            </w:r>
          </w:p>
          <w:p w14:paraId="4A878A3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85E6F1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8CF746A">
        <w:tblPrEx>
          <w:tblCellMar>
            <w:top w:w="0" w:type="dxa"/>
            <w:left w:w="108" w:type="dxa"/>
            <w:bottom w:w="0" w:type="dxa"/>
            <w:right w:w="108" w:type="dxa"/>
          </w:tblCellMar>
        </w:tblPrEx>
        <w:trPr>
          <w:gridAfter w:val="1"/>
          <w:wAfter w:w="13" w:type="dxa"/>
          <w:cantSplit/>
          <w:trHeight w:val="397" w:hRule="atLeast"/>
          <w:jc w:val="center"/>
        </w:trPr>
        <w:tc>
          <w:tcPr>
            <w:tcW w:w="9329" w:type="dxa"/>
            <w:gridSpan w:val="6"/>
            <w:tcBorders>
              <w:top w:val="single" w:color="auto" w:sz="4" w:space="0"/>
              <w:left w:val="nil"/>
              <w:bottom w:val="single" w:color="auto" w:sz="4" w:space="0"/>
              <w:right w:val="nil"/>
            </w:tcBorders>
            <w:vAlign w:val="center"/>
          </w:tcPr>
          <w:p w14:paraId="53B2AAF0">
            <w:pPr>
              <w:keepNext/>
              <w:numPr>
                <w:ilvl w:val="1"/>
                <w:numId w:val="4"/>
              </w:numPr>
              <w:spacing w:line="400" w:lineRule="exact"/>
              <w:outlineLvl w:val="0"/>
              <w:rPr>
                <w:rFonts w:ascii="微软雅黑" w:hAnsi="微软雅黑" w:eastAsia="微软雅黑" w:cs="微软雅黑"/>
                <w:szCs w:val="21"/>
              </w:rPr>
            </w:pPr>
            <w:bookmarkStart w:id="20" w:name="_GoBack"/>
            <w:bookmarkEnd w:id="20"/>
            <w:bookmarkStart w:id="12" w:name="_Toc91014"/>
            <w:r>
              <w:rPr>
                <w:rFonts w:hint="eastAsia" w:ascii="微软雅黑" w:hAnsi="微软雅黑" w:eastAsia="微软雅黑" w:cs="微软雅黑"/>
                <w:b/>
                <w:bCs/>
                <w:kern w:val="0"/>
                <w:szCs w:val="21"/>
              </w:rPr>
              <w:t>冻干机</w:t>
            </w:r>
            <w:bookmarkEnd w:id="12"/>
          </w:p>
        </w:tc>
      </w:tr>
      <w:tr w14:paraId="5A55264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FFCBA59">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98487E5">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872B906">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21FF686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1A1522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5B122D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用途：箱式冻干机，用于样品冷冻干燥。共两套，一套1.2㎡（不带压盖功能），一套0.8㎡（带压盖功能），总计冻干面积2.0㎡。</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6D9A92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534BDC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09B279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522CA8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1.2㎡冻干机：冻干面积1.2平方米，不带压盖功能。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0962FC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3D9EB0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CC4B58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9BFDCE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0.8㎡冻干机：冻干面积0.8平方米，具备西林瓶压盖功能。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D16AC7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CC21DE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4B1D3F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16CCE7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▲冻干机搁板温度范围应覆盖-50℃~+60℃。</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1AE258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8EA41B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E325B7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8BEF04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真空度应可控，支持冻干曲线编程。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C38553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098BFF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14B03C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B559C2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设备应配备无线温度传感。</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E077F2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B19201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445101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B6347B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系统应支持冻干曲线库存储与调用，适配不同制品配方。</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F382F6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09726A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70E164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3DD3D3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冷阱温度应≤-85℃。</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6BCECD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ECA9FA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18BD53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517339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板层温度控制应采用模糊PID控制算法。</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555E0A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4ABADB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A4BE94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EB0618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设备应配备PLC控制系统，支持全自动运行。</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557E09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E406C8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066B44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BAC75C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控制系统应支持冻干曲线编程，可程序化控制从冻干到除霜的全流程。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4CAF01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D6FE5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2ADE2C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D90EBD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设备应支持手动/自动模式切换。</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4B9167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4B45C4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42724A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068B5E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系统应具备数字孪生模型，支持产品温度与干燥终点预测。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40CB962">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4FC1E4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815C6E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9F049E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系统应自动记录每批次的操作参数（搁板温度、真空度、产品温度、冻干曲线等）。</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43D209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622AB3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4A63AB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1F17D8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冻干曲线应支持查询与导出，方便工艺优化及冻干效果验证。</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589657D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D29B4C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E1DCB9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F89E0F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系统应支持标准通信协议（Modbus/Profibus/OPC UA）。</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954D5A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8EC5D8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E83CB0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ABD921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两套冻干机应分别配备上位机软件。</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85D624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D7F221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08BD79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1375FC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上位机软件应具备集中监控与可视化功能，支持主流工业协议，实时采集并图形化展示设备运行参数；具备异常报警及完整的操作/故障日志追溯功能。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41F65F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8AE927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1F7934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1213EB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上位机软件应具备生产执行与调度功能，支持配方管理与远程参数调整，自动统计产量、良品率、运行时长等关键绩效指标（KPI）。</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C0813C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30730C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70E62B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6329C3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上位机软件应具备系统互联与数据互通功能，屏蔽不同品牌PLC及传感器差异，通过标准化接口与SCADA等平台集成，满足数字化工厂需求。</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211B4F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4C3E8A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1F5BC7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13FC01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上位机软件应支持电子批记录生成，包含设备信息、操作人员、工艺参数及结果。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65EFE1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8E33A1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77DC48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925942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上位机软件应具备用户权限管理功能：用户权限应分级管理（操作员、主管、管理员），具备密码保护。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7693C3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9F80CE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0CAC37E">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BF4658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上位机软件应具备预测性维护AI功能，可利用设备异常数据预警设备故障。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608CC5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A5383E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0C10054">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3E6230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上位机软件应具备冻干终点预测AI功能，可基于数字孪生或数据模型动态判断一次升华结束点。</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B965F3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A4D193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85A64A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89144A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设备配置清单（两套合计）：</w:t>
            </w:r>
          </w:p>
          <w:p w14:paraId="20AAFC8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（1）1.2㎡箱式冻干机主机1台（含冻干箱体、搁板、冷阱，不带压盖功能）；</w:t>
            </w:r>
          </w:p>
          <w:p w14:paraId="4139D53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（2）0.8㎡箱式冻干机主机1台（含冻干箱体、搁板、冷阱，带压盖功能）；</w:t>
            </w:r>
          </w:p>
          <w:p w14:paraId="036CC78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（3）真空系统2套（含真空泵、真空计）；</w:t>
            </w:r>
          </w:p>
          <w:p w14:paraId="12FF873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（4）制冷系统2套；</w:t>
            </w:r>
          </w:p>
          <w:p w14:paraId="423B9D8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（5）加热系统2套；</w:t>
            </w:r>
          </w:p>
          <w:p w14:paraId="5B323F04">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（6）无线温度传感器2套；</w:t>
            </w:r>
          </w:p>
          <w:p w14:paraId="3522B0A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（7）PLC控制系统2套；</w:t>
            </w:r>
          </w:p>
          <w:p w14:paraId="2CFFDF3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（8）HMI触摸屏2台；</w:t>
            </w:r>
          </w:p>
          <w:p w14:paraId="6DA7698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（9）上位机软件2套；</w:t>
            </w:r>
          </w:p>
          <w:p w14:paraId="1903A12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（10）随机备品备件2套；</w:t>
            </w:r>
          </w:p>
          <w:p w14:paraId="28AEEB68">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（11）操作手册及技术文件2套。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0F331C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C8C4498">
        <w:tblPrEx>
          <w:tblCellMar>
            <w:top w:w="0" w:type="dxa"/>
            <w:left w:w="108" w:type="dxa"/>
            <w:bottom w:w="0" w:type="dxa"/>
            <w:right w:w="108" w:type="dxa"/>
          </w:tblCellMar>
        </w:tblPrEx>
        <w:trPr>
          <w:cantSplit/>
          <w:trHeight w:val="397" w:hRule="atLeast"/>
          <w:jc w:val="center"/>
        </w:trPr>
        <w:tc>
          <w:tcPr>
            <w:tcW w:w="9342" w:type="dxa"/>
            <w:gridSpan w:val="7"/>
          </w:tcPr>
          <w:p w14:paraId="630D1428">
            <w:pPr>
              <w:keepNext/>
              <w:numPr>
                <w:ilvl w:val="0"/>
                <w:numId w:val="4"/>
              </w:numPr>
              <w:spacing w:line="400" w:lineRule="exact"/>
              <w:ind w:left="1106" w:hanging="1106"/>
              <w:outlineLvl w:val="0"/>
              <w:rPr>
                <w:rFonts w:ascii="微软雅黑" w:hAnsi="微软雅黑" w:eastAsia="微软雅黑" w:cs="微软雅黑"/>
                <w:b/>
                <w:szCs w:val="21"/>
              </w:rPr>
            </w:pPr>
            <w:bookmarkStart w:id="13" w:name="_Toc91015"/>
            <w:r>
              <w:rPr>
                <w:rFonts w:hint="eastAsia" w:ascii="微软雅黑" w:hAnsi="微软雅黑" w:eastAsia="微软雅黑" w:cs="微软雅黑"/>
                <w:b/>
                <w:szCs w:val="21"/>
              </w:rPr>
              <w:t>智能控制系统要求</w:t>
            </w:r>
            <w:bookmarkEnd w:id="13"/>
          </w:p>
        </w:tc>
      </w:tr>
      <w:tr w14:paraId="2B2649A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F6D4E62">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221AFCA">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F2FB05">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172DAAA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74D674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110A72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配备SCADA/Batch服务器（工业级，双网卡冗余），部署批次管理软件。</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DAC115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26DE27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8B34E4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84B1FD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配备至少2台操作员站（≥27寸工业触摸一体机），布置于中控室，显示全流程动态工艺透视图。</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4AB824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827FC0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6FFC2DF">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BE359A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支持配方管理：可存储≥1000个工艺配方，支持版本管理与回滚。</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19F69F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3B176B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D394F6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A2C130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支持批次执行：按时间线/事件触发向L2下发控制指令，管理批次全生命周期。</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6AA39E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C565B97">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5817AD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636EC6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权限管理：基于RBAC模型，分级管理操作员/主管/管理员。</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644308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4E971F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F1C707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663285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电子批记录（EBR）：自动生成每批次完整报告，包含设备信息、人员、工艺参数、图谱及结果。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53F19D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090220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10D449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397C24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报警管理：三级报警（提示/警告/紧急），支持大屏显示及多渠道推送（企业微信/邮件/声光报警）。</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8E60674">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8DF85BA">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6018351">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7E13EB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配备网管型工业交换机（≥2台），支持千兆冗余环网拓扑。</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8F4A32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227F13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B726F8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E732FF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须具备以下AI应用功能（可模型驱动，不要求在线持续学习）：（1）智能破壁：根据细胞类型自动推荐最优压力与循环次数；（2）膜通量预测：提前预判TMP爬升趋势，联动触发自动反冲或清洗；（3）结晶形态识别：基于在线显微图像分类晶型，自动调节降温速率与晶种添加策略；（4）冻干终点预测：基于数字孪生或数据模型动态判断一次升华结束点；（5）预测性维护：利用振动/压力数据预警设备故障。</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778F1A3">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CFB241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BCB0E5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D88D35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智能控制系统配置清单：</w:t>
            </w:r>
          </w:p>
          <w:p w14:paraId="012BD65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（1）SCADA/Batch服务器（工业级，双网卡冗余）1台，含SCADA软件及Batch管理软件；</w:t>
            </w:r>
          </w:p>
          <w:p w14:paraId="685BD0B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（2）MES/PLM一体化服务器1台，含MES软件及PLM软件；</w:t>
            </w:r>
          </w:p>
          <w:p w14:paraId="518E6015">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（3）操作员站（≥27寸工业触摸一体机）2台；</w:t>
            </w:r>
          </w:p>
          <w:p w14:paraId="70E6F916">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（4）网管型工业交换机（支持千兆冗余环网）2台；</w:t>
            </w:r>
          </w:p>
          <w:p w14:paraId="40D04CA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（5）系统集成及安装辅材1批；</w:t>
            </w:r>
          </w:p>
          <w:p w14:paraId="4AC30E1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（6）操作手册及技术文件1套。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520108C">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8CD9D2A">
        <w:tblPrEx>
          <w:tblCellMar>
            <w:top w:w="0" w:type="dxa"/>
            <w:left w:w="108" w:type="dxa"/>
            <w:bottom w:w="0" w:type="dxa"/>
            <w:right w:w="108" w:type="dxa"/>
          </w:tblCellMar>
        </w:tblPrEx>
        <w:trPr>
          <w:cantSplit/>
          <w:trHeight w:val="397" w:hRule="atLeast"/>
          <w:jc w:val="center"/>
        </w:trPr>
        <w:tc>
          <w:tcPr>
            <w:tcW w:w="9342" w:type="dxa"/>
            <w:gridSpan w:val="7"/>
          </w:tcPr>
          <w:p w14:paraId="0C12DEA0">
            <w:pPr>
              <w:keepNext/>
              <w:numPr>
                <w:ilvl w:val="0"/>
                <w:numId w:val="4"/>
              </w:numPr>
              <w:spacing w:line="400" w:lineRule="exact"/>
              <w:ind w:left="1106" w:hanging="1106"/>
              <w:outlineLvl w:val="0"/>
              <w:rPr>
                <w:rFonts w:ascii="微软雅黑" w:hAnsi="微软雅黑" w:eastAsia="微软雅黑" w:cs="微软雅黑"/>
                <w:b/>
                <w:szCs w:val="21"/>
              </w:rPr>
            </w:pPr>
            <w:bookmarkStart w:id="14" w:name="_Toc91016"/>
            <w:r>
              <w:rPr>
                <w:rFonts w:hint="eastAsia" w:ascii="微软雅黑" w:hAnsi="微软雅黑" w:eastAsia="微软雅黑" w:cs="微软雅黑"/>
                <w:b/>
                <w:szCs w:val="21"/>
              </w:rPr>
              <w:t>安装调试及培训、验证和文件需求</w:t>
            </w:r>
            <w:bookmarkEnd w:id="14"/>
          </w:p>
        </w:tc>
      </w:tr>
      <w:tr w14:paraId="6A32A0E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FEAA38B">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D091A05">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C8C2A82">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67731F1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90967A0">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F019271">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提供文件清单，所有文件资料均须提供电子版本资料。</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7D6E39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3893C2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04A384A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60D13D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设备使用说明手册、维护保养手册，主要部件及操作系统的操作和维修手册，预防性维修表，故障排除说明书、检修规程。</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F2C722F">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2145F1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4F775D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4E44F7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安装完毕后，工程师将对用户的仪器操作人员进行现场培训，参加人数不限。仪器在安装完成，能够上手执行简单运行后，用户可参加原厂培训中心的标准培训（4-5天），保证受训人员能独立操作仪器并进行日常的维护保养。</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79A1C2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B2C4930">
        <w:tblPrEx>
          <w:tblCellMar>
            <w:top w:w="0" w:type="dxa"/>
            <w:left w:w="108" w:type="dxa"/>
            <w:bottom w:w="0" w:type="dxa"/>
            <w:right w:w="108" w:type="dxa"/>
          </w:tblCellMar>
        </w:tblPrEx>
        <w:trPr>
          <w:cantSplit/>
          <w:trHeight w:val="397" w:hRule="atLeast"/>
          <w:jc w:val="center"/>
        </w:trPr>
        <w:tc>
          <w:tcPr>
            <w:tcW w:w="9342" w:type="dxa"/>
            <w:gridSpan w:val="7"/>
          </w:tcPr>
          <w:p w14:paraId="09EDC102">
            <w:pPr>
              <w:keepNext/>
              <w:numPr>
                <w:ilvl w:val="0"/>
                <w:numId w:val="4"/>
              </w:numPr>
              <w:spacing w:line="400" w:lineRule="exact"/>
              <w:ind w:left="1106" w:hanging="1106"/>
              <w:outlineLvl w:val="0"/>
              <w:rPr>
                <w:rFonts w:ascii="微软雅黑" w:hAnsi="微软雅黑" w:eastAsia="微软雅黑" w:cs="微软雅黑"/>
                <w:b/>
                <w:szCs w:val="21"/>
              </w:rPr>
            </w:pPr>
            <w:bookmarkStart w:id="15" w:name="_Toc91017"/>
            <w:r>
              <w:rPr>
                <w:rFonts w:hint="eastAsia" w:ascii="微软雅黑" w:hAnsi="微软雅黑" w:eastAsia="微软雅黑" w:cs="微软雅黑"/>
                <w:b/>
                <w:szCs w:val="21"/>
              </w:rPr>
              <w:t>操作和维护</w:t>
            </w:r>
            <w:bookmarkEnd w:id="15"/>
          </w:p>
        </w:tc>
      </w:tr>
      <w:tr w14:paraId="21442FF4">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929B4BF">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5D3D06E">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需求描述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F55485C">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05E9AE6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536D68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5B5B36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供应商应对用户人员进行培训，培训内容主要包括整个设备（系统）的工作原理、构架、流程、操作、维护维修和故障解决等。通过培训应能达到如下效果：要求操作人员能独立操作设备，能对设备常见故障进行维修，并能按照要求的设备维护方法对设备进行维护。设备维修人员经过培训，能对设备常见故障进行维修，并能按照要求的设备维护方法对设备进行维护。</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B15E7DD">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69B2B8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31EA053">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AF2663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提供维护项目和周期的列表；提供调整点和调整方式的列表；提供润滑点、润滑剂的类型和加注量、加注周期的列表；提供各部件易机械损伤情况描述及对损伤处理方法；安装、操作、维护指南文件的复杂程度应当能被高中水平的人所接受。</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39D2D9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39576FE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D9A821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6DC4B1F">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设备的维护和维修可以使用标准的工具；列出需要使用的特殊工具和来源。</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01E8A0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4B806E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9A5CC3A">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7A61A5A">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列出备件和交货周期：易耗件、易损件、长交货期备件、本地难以买到的电子器件。提供一定数量的以上配件。</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7F62C93B">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2BB7D7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1020FB2">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49767A17">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供方提供可满足一年设备运行需要的易损零部件及零部件清单。</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816DBA5">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6888C36B">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79A46D9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1B3D4A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设备在将来使用过程中如遇故障需要拆卸维修和保养，供货厂家必需随时提供所拆部位的装配示意图。</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7AB097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FEE9982">
        <w:tblPrEx>
          <w:tblCellMar>
            <w:top w:w="0" w:type="dxa"/>
            <w:left w:w="108" w:type="dxa"/>
            <w:bottom w:w="0" w:type="dxa"/>
            <w:right w:w="108" w:type="dxa"/>
          </w:tblCellMar>
        </w:tblPrEx>
        <w:trPr>
          <w:cantSplit/>
          <w:trHeight w:val="397" w:hRule="atLeast"/>
          <w:jc w:val="center"/>
        </w:trPr>
        <w:tc>
          <w:tcPr>
            <w:tcW w:w="9342" w:type="dxa"/>
            <w:gridSpan w:val="7"/>
          </w:tcPr>
          <w:p w14:paraId="10EF5B1E">
            <w:pPr>
              <w:keepNext/>
              <w:numPr>
                <w:ilvl w:val="0"/>
                <w:numId w:val="4"/>
              </w:numPr>
              <w:spacing w:line="400" w:lineRule="exact"/>
              <w:ind w:left="1106" w:hanging="1106"/>
              <w:outlineLvl w:val="0"/>
              <w:rPr>
                <w:rFonts w:ascii="微软雅黑" w:hAnsi="微软雅黑" w:eastAsia="微软雅黑" w:cs="微软雅黑"/>
                <w:b/>
                <w:szCs w:val="21"/>
              </w:rPr>
            </w:pPr>
            <w:bookmarkStart w:id="16" w:name="_Toc91018"/>
            <w:r>
              <w:rPr>
                <w:rFonts w:hint="eastAsia" w:ascii="微软雅黑" w:hAnsi="微软雅黑" w:eastAsia="微软雅黑" w:cs="微软雅黑"/>
                <w:b/>
                <w:szCs w:val="21"/>
              </w:rPr>
              <w:t>包装及运输需求</w:t>
            </w:r>
            <w:bookmarkEnd w:id="16"/>
          </w:p>
        </w:tc>
      </w:tr>
      <w:tr w14:paraId="6D1AD0E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876A216">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F475039">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要求描述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8E74D10">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0E11EB76">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8BA7858">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AA9BCDB">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所有设备运输至用户指定工厂地点安装，设备装、卸货吊装、转运等均由乙方完成，运输过程导致系统损坏责任由乙方承担。</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4E887A7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23478F3E">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FDA2326">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7E94F029">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包装满足运输和装卸要求，防潮湿、防磕碰、防振动，由于包装不良而造成的任何锈损，乙方承担全部损失和费用。</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493783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BC998C2">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4A3AD3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14A77C5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提供详细的装箱清单，并与装箱内容一致。</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03B31D1">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5BEB5E91">
        <w:tblPrEx>
          <w:tblCellMar>
            <w:top w:w="0" w:type="dxa"/>
            <w:left w:w="108" w:type="dxa"/>
            <w:bottom w:w="0" w:type="dxa"/>
            <w:right w:w="108" w:type="dxa"/>
          </w:tblCellMar>
        </w:tblPrEx>
        <w:trPr>
          <w:cantSplit/>
          <w:trHeight w:val="397" w:hRule="atLeast"/>
          <w:jc w:val="center"/>
        </w:trPr>
        <w:tc>
          <w:tcPr>
            <w:tcW w:w="9342" w:type="dxa"/>
            <w:gridSpan w:val="7"/>
          </w:tcPr>
          <w:p w14:paraId="507CCBA4">
            <w:pPr>
              <w:keepNext/>
              <w:numPr>
                <w:ilvl w:val="0"/>
                <w:numId w:val="4"/>
              </w:numPr>
              <w:spacing w:line="400" w:lineRule="exact"/>
              <w:ind w:left="1106" w:hanging="1106"/>
              <w:outlineLvl w:val="0"/>
              <w:rPr>
                <w:rFonts w:ascii="微软雅黑" w:hAnsi="微软雅黑" w:eastAsia="微软雅黑" w:cs="微软雅黑"/>
                <w:b/>
                <w:szCs w:val="21"/>
              </w:rPr>
            </w:pPr>
            <w:bookmarkStart w:id="17" w:name="_Toc91019"/>
            <w:r>
              <w:rPr>
                <w:rFonts w:hint="eastAsia" w:ascii="微软雅黑" w:hAnsi="微软雅黑" w:eastAsia="微软雅黑" w:cs="微软雅黑"/>
                <w:b/>
                <w:szCs w:val="21"/>
              </w:rPr>
              <w:t>维护和售后需求</w:t>
            </w:r>
            <w:bookmarkEnd w:id="17"/>
          </w:p>
        </w:tc>
      </w:tr>
      <w:tr w14:paraId="623572D8">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AFC073E">
            <w:pPr>
              <w:keepNext/>
              <w:numPr>
                <w:ilvl w:val="255"/>
                <w:numId w:val="0"/>
              </w:num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URS编号</w:t>
            </w:r>
          </w:p>
        </w:tc>
        <w:tc>
          <w:tcPr>
            <w:tcW w:w="6939"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A2EF541">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要求描述</w:t>
            </w:r>
          </w:p>
        </w:tc>
        <w:tc>
          <w:tcPr>
            <w:tcW w:w="1259"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FE64CBC">
            <w:pPr>
              <w:keepNext/>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期望/必需</w:t>
            </w:r>
          </w:p>
        </w:tc>
      </w:tr>
      <w:tr w14:paraId="77ADA289">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948BE55">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BDD1FFE">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设备安装于用户指定的实验室位置，供应商提供上、下楼搬运服务（包含退货导致的搬运服务）。</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2D05419">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19EF080">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3F616BED">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29EAF6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供应商应提供不少于3年的系统和设备的质保期，有效日为整机合格验收之次日开始计算。供应商对项目货物及服务在质保期货物质量问题实行保修、包换、包退等服务。零件更换等寄送费用，由供应商负责。如因仪器自身质量造成仪器故障，导致停止生产时，需要延长保修期限。质保期后应提供良好的售后服务。</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30FE8367">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3416E83">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63AE0D1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0EFEC250">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售后服务必需响应及时，要求设备出现须厂家维修的故障后，应在6小时内明确答复，当电话沟通无法解决时，须48小时内派人至现场解决。</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2004698A">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1A330095">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187F9D9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3D2F2C53">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供应厂商应具有完善的售后服务保障，提供系统支持（维修、定期检查和维护）质保期限内第2-3年，供应商到现场作预防性维护，1次/每年。</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7714BE0">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F4EA65F">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283AE0AC">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251466EC">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供应商应具有设备质保期后服务跟踪能力，指导配合用户进行设备检修工作，优质优价提供零配件，保持设备综合性能良好。</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610C6436">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4E83CE2C">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5E5D5387">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5A4096F2">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质保期后仍提供长期的售后服务和配件提供。</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002A43FE">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03DB7EAD">
        <w:tblPrEx>
          <w:tblCellMar>
            <w:top w:w="0" w:type="dxa"/>
            <w:left w:w="108" w:type="dxa"/>
            <w:bottom w:w="0" w:type="dxa"/>
            <w:right w:w="108" w:type="dxa"/>
          </w:tblCellMar>
        </w:tblPrEx>
        <w:trPr>
          <w:gridAfter w:val="1"/>
          <w:wAfter w:w="13" w:type="dxa"/>
          <w:cantSplit/>
          <w:trHeight w:val="397" w:hRule="atLeast"/>
          <w:jc w:val="center"/>
        </w:trPr>
        <w:tc>
          <w:tcPr>
            <w:tcW w:w="1131" w:type="dxa"/>
            <w:tcBorders>
              <w:top w:val="single" w:color="auto" w:sz="4" w:space="0"/>
              <w:left w:val="single" w:color="auto" w:sz="4" w:space="0"/>
              <w:bottom w:val="single" w:color="auto" w:sz="4" w:space="0"/>
              <w:right w:val="single" w:color="auto" w:sz="4" w:space="0"/>
            </w:tcBorders>
            <w:vAlign w:val="center"/>
          </w:tcPr>
          <w:p w14:paraId="4326DCDB">
            <w:pPr>
              <w:numPr>
                <w:ilvl w:val="0"/>
                <w:numId w:val="6"/>
              </w:numPr>
              <w:spacing w:line="400" w:lineRule="exact"/>
              <w:rPr>
                <w:rFonts w:ascii="微软雅黑" w:hAnsi="微软雅黑" w:eastAsia="微软雅黑" w:cs="微软雅黑"/>
                <w:szCs w:val="21"/>
              </w:rPr>
            </w:pPr>
          </w:p>
        </w:tc>
        <w:tc>
          <w:tcPr>
            <w:tcW w:w="6939" w:type="dxa"/>
            <w:gridSpan w:val="3"/>
            <w:tcBorders>
              <w:top w:val="single" w:color="auto" w:sz="4" w:space="0"/>
              <w:left w:val="single" w:color="auto" w:sz="4" w:space="0"/>
              <w:bottom w:val="single" w:color="auto" w:sz="4" w:space="0"/>
              <w:right w:val="single" w:color="auto" w:sz="4" w:space="0"/>
            </w:tcBorders>
            <w:vAlign w:val="center"/>
          </w:tcPr>
          <w:p w14:paraId="68AFBDBD">
            <w:pPr>
              <w:widowControl/>
              <w:spacing w:line="400" w:lineRule="exact"/>
              <w:jc w:val="left"/>
              <w:rPr>
                <w:rFonts w:ascii="微软雅黑" w:hAnsi="微软雅黑" w:eastAsia="微软雅黑" w:cs="微软雅黑"/>
                <w:kern w:val="0"/>
                <w:szCs w:val="21"/>
                <w:lang w:bidi="ar"/>
              </w:rPr>
            </w:pPr>
            <w:r>
              <w:rPr>
                <w:rFonts w:hint="eastAsia" w:ascii="微软雅黑" w:hAnsi="微软雅黑" w:eastAsia="微软雅黑" w:cs="微软雅黑"/>
                <w:kern w:val="0"/>
                <w:szCs w:val="21"/>
                <w:lang w:bidi="ar"/>
              </w:rPr>
              <w:t>系统供应商针对此系统，在广东省内的技术工程师不少于6人。</w:t>
            </w:r>
          </w:p>
        </w:tc>
        <w:tc>
          <w:tcPr>
            <w:tcW w:w="1259" w:type="dxa"/>
            <w:gridSpan w:val="2"/>
            <w:tcBorders>
              <w:top w:val="single" w:color="auto" w:sz="4" w:space="0"/>
              <w:left w:val="single" w:color="auto" w:sz="4" w:space="0"/>
              <w:bottom w:val="single" w:color="auto" w:sz="4" w:space="0"/>
              <w:right w:val="single" w:color="auto" w:sz="4" w:space="0"/>
            </w:tcBorders>
            <w:shd w:val="clear" w:color="auto" w:fill="FFFF00"/>
            <w:vAlign w:val="center"/>
          </w:tcPr>
          <w:p w14:paraId="102C35A8">
            <w:pPr>
              <w:spacing w:line="400" w:lineRule="exact"/>
              <w:jc w:val="center"/>
              <w:rPr>
                <w:rFonts w:ascii="微软雅黑" w:hAnsi="微软雅黑" w:eastAsia="微软雅黑" w:cs="微软雅黑"/>
                <w:szCs w:val="21"/>
              </w:rPr>
            </w:pPr>
            <w:r>
              <w:rPr>
                <w:rFonts w:hint="eastAsia" w:ascii="微软雅黑" w:hAnsi="微软雅黑" w:eastAsia="微软雅黑" w:cs="微软雅黑"/>
                <w:szCs w:val="21"/>
              </w:rPr>
              <w:t>必需</w:t>
            </w:r>
          </w:p>
        </w:tc>
      </w:tr>
      <w:tr w14:paraId="7B50A848">
        <w:tblPrEx>
          <w:tblCellMar>
            <w:top w:w="0" w:type="dxa"/>
            <w:left w:w="108" w:type="dxa"/>
            <w:bottom w:w="0" w:type="dxa"/>
            <w:right w:w="108" w:type="dxa"/>
          </w:tblCellMar>
        </w:tblPrEx>
        <w:trPr>
          <w:cantSplit/>
          <w:trHeight w:val="397" w:hRule="atLeast"/>
          <w:jc w:val="center"/>
        </w:trPr>
        <w:tc>
          <w:tcPr>
            <w:tcW w:w="9342" w:type="dxa"/>
            <w:gridSpan w:val="7"/>
          </w:tcPr>
          <w:p w14:paraId="37D6B2C9">
            <w:pPr>
              <w:keepNext/>
              <w:numPr>
                <w:ilvl w:val="0"/>
                <w:numId w:val="4"/>
              </w:numPr>
              <w:spacing w:line="400" w:lineRule="exact"/>
              <w:ind w:left="1106" w:hanging="1106"/>
              <w:outlineLvl w:val="0"/>
              <w:rPr>
                <w:rFonts w:ascii="微软雅黑" w:hAnsi="微软雅黑" w:eastAsia="微软雅黑" w:cs="微软雅黑"/>
                <w:b/>
                <w:szCs w:val="21"/>
              </w:rPr>
            </w:pPr>
            <w:bookmarkStart w:id="18" w:name="_Toc91020"/>
            <w:r>
              <w:rPr>
                <w:rFonts w:hint="eastAsia" w:ascii="微软雅黑" w:hAnsi="微软雅黑" w:eastAsia="微软雅黑" w:cs="微软雅黑"/>
                <w:b/>
                <w:szCs w:val="21"/>
              </w:rPr>
              <w:t>验收标准</w:t>
            </w:r>
            <w:bookmarkEnd w:id="18"/>
          </w:p>
        </w:tc>
      </w:tr>
      <w:tr w14:paraId="30B31535">
        <w:tblPrEx>
          <w:tblCellMar>
            <w:top w:w="0" w:type="dxa"/>
            <w:left w:w="108" w:type="dxa"/>
            <w:bottom w:w="0" w:type="dxa"/>
            <w:right w:w="108" w:type="dxa"/>
          </w:tblCellMar>
        </w:tblPrEx>
        <w:trPr>
          <w:trHeight w:val="90" w:hRule="atLeast"/>
          <w:jc w:val="center"/>
        </w:trPr>
        <w:tc>
          <w:tcPr>
            <w:tcW w:w="1131" w:type="dxa"/>
          </w:tcPr>
          <w:p w14:paraId="3D3992B2">
            <w:pPr>
              <w:spacing w:line="400" w:lineRule="exact"/>
              <w:rPr>
                <w:rFonts w:ascii="微软雅黑" w:hAnsi="微软雅黑" w:eastAsia="微软雅黑" w:cs="微软雅黑"/>
                <w:szCs w:val="21"/>
              </w:rPr>
            </w:pPr>
          </w:p>
        </w:tc>
        <w:tc>
          <w:tcPr>
            <w:tcW w:w="8211" w:type="dxa"/>
            <w:gridSpan w:val="6"/>
          </w:tcPr>
          <w:p w14:paraId="05892633">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设备到货、安装与调试完成后，应依据以下标准进行验收：</w:t>
            </w:r>
          </w:p>
          <w:p w14:paraId="634D5917">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1）完整性核对：所交付的离心机、均质机、陶瓷膜微滤系统、层析系统、陶瓷膜纳滤系统、结晶罐、冻干机（两套）、管路及相关配件需与合同、技术协议及本URS一致。随机文件、用户手册、维护指南、软件介质、合格证明、配置清单及培训资料应齐全。</w:t>
            </w:r>
          </w:p>
          <w:p w14:paraId="6032C53B">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2）外观与安装检查：设备外观无损伤、无变形，无运输造成的异常。安装位置符合公用工程和工艺布局要求，仪器、罐体、管路、控制柜、工作站及相关系统摆放稳固，电源、气源、液路、排风、网络和控制通讯连接规范，无泄漏、堵塞、异常振动或安全隐患。系统启动与基本功能检查。</w:t>
            </w:r>
          </w:p>
          <w:p w14:paraId="1CB3E080">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3）基本性能验证：供应商供货应按本URS第7条各类设备/系统技术需求逐条验收查验；全部达到本URS要求，并完成安装、调试、功能确认和必要的性能测试后，即视为通过技术验收。</w:t>
            </w:r>
          </w:p>
          <w:p w14:paraId="7934CAEB">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4）培训完成情况：供应商完成操作基础培训，包括仪器开关机、基本维护、方法设置、样品分析与结果查看。用户具备独立完成日常操作的能力。</w:t>
            </w:r>
          </w:p>
          <w:p w14:paraId="72378E84">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5）试运行（Trial Run）：使用实际研究中常见的样品类型或模拟样品进行试运行，设备能稳定完成数据采集，期间无报错或系统中断。</w:t>
            </w:r>
          </w:p>
          <w:p w14:paraId="23A44CC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6）文档交付：安装记录、培训记录、设备序列号资料、保修文件、配件清单均需移交并确认。</w:t>
            </w:r>
          </w:p>
        </w:tc>
      </w:tr>
      <w:tr w14:paraId="58B63FAE">
        <w:tblPrEx>
          <w:tblCellMar>
            <w:top w:w="0" w:type="dxa"/>
            <w:left w:w="108" w:type="dxa"/>
            <w:bottom w:w="0" w:type="dxa"/>
            <w:right w:w="108" w:type="dxa"/>
          </w:tblCellMar>
        </w:tblPrEx>
        <w:trPr>
          <w:cantSplit/>
          <w:trHeight w:val="397" w:hRule="atLeast"/>
          <w:jc w:val="center"/>
        </w:trPr>
        <w:tc>
          <w:tcPr>
            <w:tcW w:w="9342" w:type="dxa"/>
            <w:gridSpan w:val="7"/>
          </w:tcPr>
          <w:p w14:paraId="74ADBC7F">
            <w:pPr>
              <w:keepNext/>
              <w:numPr>
                <w:ilvl w:val="0"/>
                <w:numId w:val="4"/>
              </w:numPr>
              <w:spacing w:line="400" w:lineRule="exact"/>
              <w:ind w:left="1106" w:hanging="1106"/>
              <w:outlineLvl w:val="0"/>
              <w:rPr>
                <w:rFonts w:ascii="微软雅黑" w:hAnsi="微软雅黑" w:eastAsia="微软雅黑" w:cs="微软雅黑"/>
                <w:b/>
                <w:szCs w:val="21"/>
              </w:rPr>
            </w:pPr>
            <w:bookmarkStart w:id="19" w:name="_Toc91021"/>
            <w:r>
              <w:rPr>
                <w:rFonts w:hint="eastAsia" w:ascii="微软雅黑" w:hAnsi="微软雅黑" w:eastAsia="微软雅黑" w:cs="微软雅黑"/>
                <w:b/>
                <w:szCs w:val="21"/>
              </w:rPr>
              <w:t>保密约定</w:t>
            </w:r>
            <w:bookmarkEnd w:id="19"/>
          </w:p>
        </w:tc>
      </w:tr>
      <w:tr w14:paraId="0052BDEE">
        <w:tblPrEx>
          <w:tblCellMar>
            <w:top w:w="0" w:type="dxa"/>
            <w:left w:w="108" w:type="dxa"/>
            <w:bottom w:w="0" w:type="dxa"/>
            <w:right w:w="108" w:type="dxa"/>
          </w:tblCellMar>
        </w:tblPrEx>
        <w:trPr>
          <w:trHeight w:val="90" w:hRule="atLeast"/>
          <w:jc w:val="center"/>
        </w:trPr>
        <w:tc>
          <w:tcPr>
            <w:tcW w:w="1131" w:type="dxa"/>
          </w:tcPr>
          <w:p w14:paraId="0F61485F">
            <w:pPr>
              <w:spacing w:line="400" w:lineRule="exact"/>
              <w:rPr>
                <w:rFonts w:ascii="微软雅黑" w:hAnsi="微软雅黑" w:eastAsia="微软雅黑" w:cs="微软雅黑"/>
                <w:szCs w:val="21"/>
              </w:rPr>
            </w:pPr>
          </w:p>
        </w:tc>
        <w:tc>
          <w:tcPr>
            <w:tcW w:w="8211" w:type="dxa"/>
            <w:gridSpan w:val="6"/>
          </w:tcPr>
          <w:p w14:paraId="6DA94DFD">
            <w:pPr>
              <w:spacing w:line="400" w:lineRule="exact"/>
              <w:rPr>
                <w:rFonts w:ascii="微软雅黑" w:hAnsi="微软雅黑" w:eastAsia="微软雅黑" w:cs="微软雅黑"/>
                <w:kern w:val="0"/>
                <w:szCs w:val="21"/>
              </w:rPr>
            </w:pPr>
            <w:r>
              <w:rPr>
                <w:rFonts w:hint="eastAsia" w:ascii="微软雅黑" w:hAnsi="微软雅黑" w:eastAsia="微软雅黑" w:cs="微软雅黑"/>
                <w:kern w:val="0"/>
                <w:szCs w:val="21"/>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bl>
    <w:p w14:paraId="11901D26">
      <w:pPr>
        <w:rPr>
          <w:b/>
          <w:szCs w:val="21"/>
        </w:rPr>
      </w:pPr>
    </w:p>
    <w:p w14:paraId="358C8019">
      <w:pPr>
        <w:rPr>
          <w:b/>
          <w:szCs w:val="21"/>
        </w:rPr>
      </w:pPr>
    </w:p>
    <w:p w14:paraId="11F43DC3">
      <w:pPr>
        <w:rPr>
          <w:b/>
          <w:szCs w:val="21"/>
        </w:rPr>
      </w:pPr>
    </w:p>
    <w:p w14:paraId="57873C19">
      <w:pPr>
        <w:spacing w:line="60" w:lineRule="exact"/>
      </w:pPr>
    </w:p>
    <w:sectPr>
      <w:headerReference r:id="rId3" w:type="default"/>
      <w:footerReference r:id="rId4" w:type="default"/>
      <w:pgSz w:w="11906" w:h="16838"/>
      <w:pgMar w:top="1134" w:right="1134" w:bottom="1134" w:left="1134"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6549D">
    <w:pPr>
      <w:pStyle w:val="10"/>
      <w:pBdr>
        <w:top w:val="single" w:color="auto" w:sz="4" w:space="1"/>
      </w:pBdr>
      <w:shd w:val="clear" w:color="auto" w:fill="FFFFFF"/>
      <w:adjustRightInd w:val="0"/>
      <w:ind w:right="71" w:rightChars="34"/>
      <w:jc w:val="center"/>
      <w:rPr>
        <w:sz w:val="15"/>
        <w:szCs w:val="15"/>
      </w:rPr>
    </w:pPr>
    <w:r>
      <w:rPr>
        <w:sz w:val="15"/>
        <w:szCs w:val="15"/>
      </w:rPr>
      <w:t>本文件仅限</w:t>
    </w:r>
    <w:r>
      <w:rPr>
        <w:rFonts w:hint="eastAsia"/>
        <w:sz w:val="15"/>
        <w:szCs w:val="15"/>
      </w:rPr>
      <w:t>国家生物制造产业创新中心</w:t>
    </w:r>
    <w:r>
      <w:rPr>
        <w:sz w:val="15"/>
        <w:szCs w:val="15"/>
      </w:rPr>
      <w:t>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9DB11">
    <w:pPr>
      <w:widowControl/>
      <w:jc w:val="cente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3ED96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right w:val="single" w:color="auto" w:sz="4" w:space="0"/>
          </w:tcBorders>
          <w:vAlign w:val="center"/>
        </w:tcPr>
        <w:p w14:paraId="121BBFE4">
          <w:pPr>
            <w:widowControl/>
            <w:jc w:val="left"/>
            <w:rPr>
              <w:sz w:val="15"/>
              <w:szCs w:val="15"/>
            </w:rPr>
          </w:pPr>
          <w:r>
            <w:drawing>
              <wp:inline distT="0" distB="0" distL="114300" distR="114300">
                <wp:extent cx="1442085" cy="563880"/>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rcRect l="14762" t="29422" r="14676" b="28571"/>
                        <a:stretch>
                          <a:fillRect/>
                        </a:stretch>
                      </pic:blipFill>
                      <pic:spPr>
                        <a:xfrm>
                          <a:off x="0" y="0"/>
                          <a:ext cx="1442085" cy="563880"/>
                        </a:xfrm>
                        <a:prstGeom prst="rect">
                          <a:avLst/>
                        </a:prstGeom>
                        <a:noFill/>
                        <a:ln>
                          <a:noFill/>
                        </a:ln>
                      </pic:spPr>
                    </pic:pic>
                  </a:graphicData>
                </a:graphic>
              </wp:inline>
            </w:drawing>
          </w:r>
        </w:p>
      </w:tc>
      <w:tc>
        <w:tcPr>
          <w:tcW w:w="4351" w:type="dxa"/>
          <w:vMerge w:val="restart"/>
          <w:tcBorders>
            <w:left w:val="single" w:color="auto" w:sz="4" w:space="0"/>
          </w:tcBorders>
          <w:vAlign w:val="center"/>
        </w:tcPr>
        <w:p w14:paraId="47C3A206">
          <w:pPr>
            <w:widowControl/>
            <w:jc w:val="center"/>
            <w:rPr>
              <w:b/>
              <w:sz w:val="24"/>
            </w:rPr>
          </w:pPr>
          <w:r>
            <w:rPr>
              <w:rFonts w:hint="eastAsia"/>
              <w:b/>
              <w:sz w:val="32"/>
              <w:szCs w:val="32"/>
            </w:rPr>
            <w:t>AI智能发酵液纯化自动化平台设备用户需求说明书</w:t>
          </w:r>
        </w:p>
      </w:tc>
      <w:tc>
        <w:tcPr>
          <w:tcW w:w="1148" w:type="dxa"/>
          <w:vAlign w:val="center"/>
        </w:tcPr>
        <w:p w14:paraId="311D4F80">
          <w:pPr>
            <w:widowControl/>
            <w:tabs>
              <w:tab w:val="center" w:pos="4320"/>
              <w:tab w:val="right" w:pos="8640"/>
            </w:tabs>
            <w:jc w:val="center"/>
            <w:rPr>
              <w:rFonts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vAlign w:val="center"/>
        </w:tcPr>
        <w:p w14:paraId="69537708">
          <w:pPr>
            <w:widowControl/>
            <w:tabs>
              <w:tab w:val="center" w:pos="4320"/>
              <w:tab w:val="right" w:pos="8640"/>
            </w:tabs>
            <w:rPr>
              <w:rFonts w:ascii="微软雅黑" w:hAnsi="微软雅黑" w:eastAsia="微软雅黑" w:cs="微软雅黑"/>
              <w:sz w:val="15"/>
              <w:szCs w:val="15"/>
            </w:rPr>
          </w:pPr>
        </w:p>
      </w:tc>
    </w:tr>
    <w:tr w14:paraId="25748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right w:val="single" w:color="auto" w:sz="4" w:space="0"/>
          </w:tcBorders>
        </w:tcPr>
        <w:p w14:paraId="11C1E6CE">
          <w:pPr>
            <w:widowControl/>
            <w:tabs>
              <w:tab w:val="center" w:pos="4320"/>
              <w:tab w:val="right" w:pos="8640"/>
            </w:tabs>
            <w:rPr>
              <w:szCs w:val="21"/>
            </w:rPr>
          </w:pPr>
        </w:p>
      </w:tc>
      <w:tc>
        <w:tcPr>
          <w:tcW w:w="4351" w:type="dxa"/>
          <w:vMerge w:val="continue"/>
          <w:tcBorders>
            <w:left w:val="single" w:color="auto" w:sz="4" w:space="0"/>
          </w:tcBorders>
        </w:tcPr>
        <w:p w14:paraId="7616EDE1">
          <w:pPr>
            <w:widowControl/>
            <w:tabs>
              <w:tab w:val="center" w:pos="4320"/>
              <w:tab w:val="right" w:pos="8640"/>
            </w:tabs>
            <w:rPr>
              <w:szCs w:val="21"/>
            </w:rPr>
          </w:pPr>
        </w:p>
      </w:tc>
      <w:tc>
        <w:tcPr>
          <w:tcW w:w="1148" w:type="dxa"/>
          <w:vAlign w:val="center"/>
        </w:tcPr>
        <w:p w14:paraId="31DB048F">
          <w:pPr>
            <w:widowControl/>
            <w:tabs>
              <w:tab w:val="center" w:pos="4320"/>
              <w:tab w:val="right" w:pos="8640"/>
            </w:tabs>
            <w:jc w:val="center"/>
            <w:rPr>
              <w:rFonts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vAlign w:val="center"/>
        </w:tcPr>
        <w:p w14:paraId="50B61F62">
          <w:pPr>
            <w:widowControl/>
            <w:tabs>
              <w:tab w:val="center" w:pos="4320"/>
              <w:tab w:val="right" w:pos="8640"/>
            </w:tabs>
            <w:rPr>
              <w:rFonts w:ascii="微软雅黑" w:hAnsi="微软雅黑" w:eastAsia="微软雅黑" w:cs="微软雅黑"/>
              <w:sz w:val="15"/>
              <w:szCs w:val="15"/>
            </w:rPr>
          </w:pPr>
        </w:p>
      </w:tc>
    </w:tr>
    <w:tr w14:paraId="53926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right w:val="single" w:color="auto" w:sz="4" w:space="0"/>
          </w:tcBorders>
          <w:vAlign w:val="center"/>
        </w:tcPr>
        <w:p w14:paraId="6A221E13">
          <w:pPr>
            <w:widowControl/>
            <w:tabs>
              <w:tab w:val="center" w:pos="4320"/>
              <w:tab w:val="right" w:pos="8640"/>
            </w:tabs>
            <w:rPr>
              <w:szCs w:val="21"/>
            </w:rPr>
          </w:pPr>
        </w:p>
      </w:tc>
      <w:tc>
        <w:tcPr>
          <w:tcW w:w="4351" w:type="dxa"/>
          <w:vMerge w:val="continue"/>
          <w:tcBorders>
            <w:left w:val="single" w:color="auto" w:sz="4" w:space="0"/>
          </w:tcBorders>
          <w:vAlign w:val="center"/>
        </w:tcPr>
        <w:p w14:paraId="05C44B5B">
          <w:pPr>
            <w:widowControl/>
            <w:tabs>
              <w:tab w:val="center" w:pos="4320"/>
              <w:tab w:val="right" w:pos="8640"/>
            </w:tabs>
            <w:rPr>
              <w:szCs w:val="21"/>
            </w:rPr>
          </w:pPr>
        </w:p>
      </w:tc>
      <w:tc>
        <w:tcPr>
          <w:tcW w:w="1148" w:type="dxa"/>
          <w:vAlign w:val="center"/>
        </w:tcPr>
        <w:p w14:paraId="1527B4D1">
          <w:pPr>
            <w:widowControl/>
            <w:tabs>
              <w:tab w:val="center" w:pos="4320"/>
              <w:tab w:val="right" w:pos="8640"/>
            </w:tabs>
            <w:jc w:val="center"/>
            <w:rPr>
              <w:rFonts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vAlign w:val="center"/>
        </w:tcPr>
        <w:p w14:paraId="2D8B0D05">
          <w:pPr>
            <w:widowControl/>
            <w:tabs>
              <w:tab w:val="center" w:pos="4320"/>
              <w:tab w:val="right" w:pos="8640"/>
            </w:tabs>
            <w:jc w:val="center"/>
            <w:rPr>
              <w:rFonts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ascii="微软雅黑" w:hAnsi="微软雅黑" w:eastAsia="微软雅黑" w:cs="微软雅黑"/>
              <w:sz w:val="15"/>
              <w:szCs w:val="15"/>
            </w:rPr>
            <w:t>18</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ascii="微软雅黑" w:hAnsi="微软雅黑" w:eastAsia="微软雅黑" w:cs="微软雅黑"/>
              <w:sz w:val="15"/>
              <w:szCs w:val="15"/>
            </w:rPr>
            <w:t>18</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7F9E3592">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rPr>
    </w:lvl>
    <w:lvl w:ilvl="1" w:tentative="0">
      <w:start w:val="1"/>
      <w:numFmt w:val="bullet"/>
      <w:lvlText w:val=""/>
      <w:lvlJc w:val="left"/>
      <w:pPr>
        <w:ind w:left="880" w:hanging="440"/>
      </w:pPr>
      <w:rPr>
        <w:rFonts w:hint="default" w:ascii="Wingdings" w:hAnsi="Wingdings" w:eastAsia="宋体"/>
        <w:u w:val="none"/>
      </w:rPr>
    </w:lvl>
    <w:lvl w:ilvl="2" w:tentative="0">
      <w:start w:val="1"/>
      <w:numFmt w:val="bullet"/>
      <w:lvlText w:val=""/>
      <w:lvlJc w:val="left"/>
      <w:pPr>
        <w:ind w:left="1320" w:hanging="440"/>
      </w:pPr>
      <w:rPr>
        <w:rFonts w:hint="default" w:ascii="Wingdings" w:hAnsi="Wingdings" w:eastAsia="宋体"/>
        <w:u w:val="none"/>
      </w:rPr>
    </w:lvl>
    <w:lvl w:ilvl="3" w:tentative="0">
      <w:start w:val="1"/>
      <w:numFmt w:val="bullet"/>
      <w:lvlText w:val=""/>
      <w:lvlJc w:val="left"/>
      <w:pPr>
        <w:ind w:left="1760" w:hanging="440"/>
      </w:pPr>
      <w:rPr>
        <w:rFonts w:hint="default" w:ascii="Wingdings" w:hAnsi="Wingdings" w:eastAsia="宋体"/>
        <w:u w:val="none"/>
      </w:rPr>
    </w:lvl>
    <w:lvl w:ilvl="4" w:tentative="0">
      <w:start w:val="1"/>
      <w:numFmt w:val="bullet"/>
      <w:lvlText w:val=""/>
      <w:lvlJc w:val="left"/>
      <w:pPr>
        <w:ind w:left="2200" w:hanging="440"/>
      </w:pPr>
      <w:rPr>
        <w:rFonts w:hint="default" w:ascii="Wingdings" w:hAnsi="Wingdings" w:eastAsia="宋体"/>
        <w:u w:val="none"/>
      </w:rPr>
    </w:lvl>
    <w:lvl w:ilvl="5" w:tentative="0">
      <w:start w:val="1"/>
      <w:numFmt w:val="bullet"/>
      <w:lvlText w:val=""/>
      <w:lvlJc w:val="left"/>
      <w:pPr>
        <w:ind w:left="2640" w:hanging="440"/>
      </w:pPr>
      <w:rPr>
        <w:rFonts w:hint="default" w:ascii="Wingdings" w:hAnsi="Wingdings" w:eastAsia="宋体"/>
        <w:u w:val="none"/>
      </w:rPr>
    </w:lvl>
    <w:lvl w:ilvl="6" w:tentative="0">
      <w:start w:val="1"/>
      <w:numFmt w:val="bullet"/>
      <w:lvlText w:val=""/>
      <w:lvlJc w:val="left"/>
      <w:pPr>
        <w:ind w:left="3080" w:hanging="440"/>
      </w:pPr>
      <w:rPr>
        <w:rFonts w:hint="default" w:ascii="Wingdings" w:hAnsi="Wingdings" w:eastAsia="宋体"/>
        <w:u w:val="none"/>
      </w:rPr>
    </w:lvl>
    <w:lvl w:ilvl="7" w:tentative="0">
      <w:start w:val="1"/>
      <w:numFmt w:val="bullet"/>
      <w:lvlText w:val=""/>
      <w:lvlJc w:val="left"/>
      <w:pPr>
        <w:ind w:left="3520" w:hanging="440"/>
      </w:pPr>
      <w:rPr>
        <w:rFonts w:hint="default" w:ascii="Wingdings" w:hAnsi="Wingdings" w:eastAsia="宋体"/>
        <w:u w:val="none"/>
      </w:rPr>
    </w:lvl>
    <w:lvl w:ilvl="8" w:tentative="0">
      <w:start w:val="1"/>
      <w:numFmt w:val="bullet"/>
      <w:lvlText w:val=""/>
      <w:lvlJc w:val="left"/>
      <w:pPr>
        <w:ind w:left="3960" w:hanging="440"/>
      </w:pPr>
      <w:rPr>
        <w:rFonts w:hint="default" w:ascii="Wingdings" w:hAnsi="Wingdings" w:eastAsia="宋体"/>
        <w:u w:val="none"/>
      </w:rPr>
    </w:lvl>
  </w:abstractNum>
  <w:abstractNum w:abstractNumId="2">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4B831775"/>
    <w:multiLevelType w:val="multilevel"/>
    <w:tmpl w:val="4B831775"/>
    <w:lvl w:ilvl="0" w:tentative="0">
      <w:start w:val="1"/>
      <w:numFmt w:val="decimal"/>
      <w:lvlText w:val="URS%1"/>
      <w:lvlJc w:val="left"/>
      <w:pPr>
        <w:ind w:left="420" w:hanging="420"/>
      </w:pPr>
      <w:rPr>
        <w:rFonts w:hint="default" w:ascii="微软雅黑" w:hAnsi="微软雅黑" w:eastAsia="微软雅黑" w:cs="微软雅黑"/>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CC04075"/>
    <w:multiLevelType w:val="multilevel"/>
    <w:tmpl w:val="6CC04075"/>
    <w:lvl w:ilvl="0" w:tentative="0">
      <w:start w:val="1"/>
      <w:numFmt w:val="decimal"/>
      <w:lvlText w:val="%1."/>
      <w:lvlJc w:val="left"/>
      <w:pPr>
        <w:tabs>
          <w:tab w:val="left" w:pos="1021"/>
        </w:tabs>
        <w:ind w:left="425" w:hanging="425"/>
      </w:pPr>
      <w:rPr>
        <w:rFonts w:hint="default" w:ascii="微软雅黑" w:hAnsi="微软雅黑" w:eastAsia="微软雅黑" w:cs="微软雅黑"/>
        <w:b/>
        <w:bCs/>
      </w:rPr>
    </w:lvl>
    <w:lvl w:ilvl="1" w:tentative="0">
      <w:start w:val="1"/>
      <w:numFmt w:val="decimal"/>
      <w:lvlText w:val="%1.%2."/>
      <w:lvlJc w:val="left"/>
      <w:pPr>
        <w:tabs>
          <w:tab w:val="left" w:pos="1021"/>
        </w:tabs>
        <w:ind w:left="567" w:hanging="567"/>
      </w:pPr>
      <w:rPr>
        <w:rFonts w:hint="default" w:ascii="微软雅黑" w:hAnsi="微软雅黑" w:eastAsia="微软雅黑" w:cs="微软雅黑"/>
        <w:b/>
        <w:bCs/>
      </w:rPr>
    </w:lvl>
    <w:lvl w:ilvl="2" w:tentative="0">
      <w:start w:val="1"/>
      <w:numFmt w:val="decimal"/>
      <w:lvlText w:val="%1.%2.%3."/>
      <w:lvlJc w:val="left"/>
      <w:pPr>
        <w:ind w:left="709" w:hanging="709"/>
      </w:pPr>
      <w:rPr>
        <w:rFonts w:hint="default" w:ascii="微软雅黑" w:hAnsi="微软雅黑" w:eastAsia="微软雅黑" w:cs="微软雅黑"/>
        <w:b w:val="0"/>
      </w:rPr>
    </w:lvl>
    <w:lvl w:ilvl="3" w:tentative="0">
      <w:start w:val="1"/>
      <w:numFmt w:val="decimal"/>
      <w:lvlText w:val="%1.%2.%3.%4."/>
      <w:lvlJc w:val="left"/>
      <w:pPr>
        <w:ind w:left="851" w:hanging="851"/>
      </w:pPr>
      <w:rPr>
        <w:rFonts w:hint="default" w:ascii="Arial" w:hAnsi="Arial" w:eastAsia="宋体" w:cs="Arial"/>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6DD12D75"/>
    <w:multiLevelType w:val="multilevel"/>
    <w:tmpl w:val="6DD12D75"/>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37E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C747D"/>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1DC"/>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20D4"/>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2AF9"/>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25E8E"/>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237"/>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1C7"/>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0BED"/>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0BD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B53C0"/>
    <w:rsid w:val="00FC04EB"/>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4846AB"/>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75402D"/>
    <w:rsid w:val="3AA77C2B"/>
    <w:rsid w:val="3AB4583D"/>
    <w:rsid w:val="3AC53D41"/>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36541A"/>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6DF697E"/>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7D45DD"/>
    <w:rsid w:val="5CE6396F"/>
    <w:rsid w:val="5D1A4DC7"/>
    <w:rsid w:val="5D4635C9"/>
    <w:rsid w:val="5D676334"/>
    <w:rsid w:val="5D8D7FCA"/>
    <w:rsid w:val="5DFE3773"/>
    <w:rsid w:val="5E087397"/>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rFonts w:hint="eastAsia"/>
      <w:b/>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Char"/>
    <w:link w:val="2"/>
    <w:qFormat/>
    <w:uiPriority w:val="0"/>
    <w:rPr>
      <w:b/>
      <w:bCs/>
      <w:kern w:val="44"/>
      <w:sz w:val="44"/>
      <w:szCs w:val="44"/>
    </w:rPr>
  </w:style>
  <w:style w:type="character" w:customStyle="1" w:styleId="22">
    <w:name w:val="批注文字 Char"/>
    <w:link w:val="5"/>
    <w:qFormat/>
    <w:uiPriority w:val="0"/>
    <w:rPr>
      <w:kern w:val="2"/>
      <w:sz w:val="21"/>
      <w:szCs w:val="24"/>
    </w:rPr>
  </w:style>
  <w:style w:type="character" w:customStyle="1" w:styleId="23">
    <w:name w:val="批注框文本 Char"/>
    <w:link w:val="9"/>
    <w:qFormat/>
    <w:uiPriority w:val="0"/>
    <w:rPr>
      <w:kern w:val="2"/>
      <w:sz w:val="18"/>
      <w:szCs w:val="18"/>
    </w:rPr>
  </w:style>
  <w:style w:type="character" w:customStyle="1" w:styleId="24">
    <w:name w:val="页脚 Char"/>
    <w:link w:val="10"/>
    <w:qFormat/>
    <w:locked/>
    <w:uiPriority w:val="99"/>
    <w:rPr>
      <w:kern w:val="2"/>
      <w:sz w:val="18"/>
      <w:szCs w:val="18"/>
    </w:rPr>
  </w:style>
  <w:style w:type="character" w:customStyle="1" w:styleId="25">
    <w:name w:val="批注主题 Char"/>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Char"/>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出段落 Char"/>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line="360" w:lineRule="exact"/>
      <w:jc w:val="left"/>
    </w:pPr>
    <w:rPr>
      <w:rFonts w:hint="eastAsia" w:cs="宋体"/>
      <w:kern w:val="0"/>
      <w:szCs w:val="21"/>
      <w:lang w:bidi="hi-IN"/>
    </w:rPr>
  </w:style>
  <w:style w:type="paragraph" w:customStyle="1" w:styleId="69">
    <w:name w:val="三级标题"/>
    <w:basedOn w:val="4"/>
    <w:unhideWhenUsed/>
    <w:qFormat/>
    <w:uiPriority w:val="0"/>
    <w:pPr>
      <w:numPr>
        <w:ilvl w:val="0"/>
        <w:numId w:val="3"/>
      </w:numPr>
      <w:spacing w:before="0" w:after="0" w:line="360" w:lineRule="auto"/>
    </w:pPr>
    <w:rPr>
      <w:sz w:val="21"/>
      <w:lang w:val="zh-CN"/>
    </w:rPr>
  </w:style>
  <w:style w:type="paragraph" w:customStyle="1" w:styleId="70">
    <w:name w:val="标题3"/>
    <w:basedOn w:val="69"/>
    <w:unhideWhenUsed/>
    <w:qFormat/>
    <w:uiPriority w:val="0"/>
    <w:pPr>
      <w:numPr>
        <w:ilvl w:val="0"/>
        <w:numId w:val="0"/>
      </w:numPr>
      <w:jc w:val="left"/>
    </w:pPr>
  </w:style>
  <w:style w:type="paragraph" w:customStyle="1" w:styleId="71">
    <w:name w:val="WPSOffice手动目录 1"/>
    <w:qFormat/>
    <w:uiPriority w:val="0"/>
    <w:rPr>
      <w:rFonts w:ascii="Times New Roman" w:hAnsi="Times New Roman" w:eastAsia="宋体" w:cs="Times New Roman"/>
      <w:lang w:val="en-US" w:eastAsia="zh-CN" w:bidi="ar-SA"/>
    </w:rPr>
  </w:style>
  <w:style w:type="paragraph" w:customStyle="1" w:styleId="72">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cs</Company>
  <Pages>18</Pages>
  <Words>10138</Words>
  <Characters>11512</Characters>
  <Lines>100</Lines>
  <Paragraphs>28</Paragraphs>
  <TotalTime>6</TotalTime>
  <ScaleCrop>false</ScaleCrop>
  <LinksUpToDate>false</LinksUpToDate>
  <CharactersWithSpaces>11682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2026-08-30T11:50:00Z</dcterms:created>
  <dc:creator>yh</dc:creator>
  <cp:lastModifiedBy>中心</cp:lastModifiedBy>
  <cp:lastPrinted>2020-06-02T10:30:00Z</cp:lastPrinted>
  <dcterms:modified xsi:type="dcterms:W3CDTF">2026-08-31T02:26:56Z</dcterms:modified>
  <dc:title>分发部门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D34ED064C09E4C7582ED6934B42EEC2C_13</vt:lpwstr>
  </property>
  <property fmtid="{D5CDD505-2E9C-101B-9397-08002B2CF9AE}" pid="4" name="KSOTemplateDocerSaveRecord">
    <vt:lpwstr>eyJoZGlkIjoiMzEwNTM5NzYwMDRjMzkwZTVkZjY2ODkwMGIxNGU0OTUiLCJ1c2VySWQiOiIxMTk2ODIxODEwIn0=</vt:lpwstr>
  </property>
</Properties>
</file>